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4279F6" w14:textId="22B34B01" w:rsidR="00A51827" w:rsidRPr="00A51827" w:rsidRDefault="00A51827" w:rsidP="00A51827">
      <w:pPr>
        <w:ind w:firstLine="567"/>
        <w:jc w:val="both"/>
      </w:pPr>
      <w:r w:rsidRPr="00A51827">
        <w:t>УДК 330.47:004.9(477)</w:t>
      </w:r>
    </w:p>
    <w:p w14:paraId="664DC861" w14:textId="77777777" w:rsidR="00A51827" w:rsidRPr="00A51827" w:rsidRDefault="00A51827" w:rsidP="00A51827">
      <w:pPr>
        <w:ind w:firstLine="567"/>
      </w:pPr>
    </w:p>
    <w:p w14:paraId="510D0E4C" w14:textId="77777777" w:rsidR="00A51827" w:rsidRPr="00A51827" w:rsidRDefault="00A51827" w:rsidP="00A51827">
      <w:pPr>
        <w:ind w:firstLine="567"/>
        <w:jc w:val="center"/>
      </w:pPr>
      <w:r w:rsidRPr="00A51827">
        <w:rPr>
          <w:b/>
          <w:bCs/>
        </w:rPr>
        <w:t>ЦИФРОВА ТРАНСФОРМАЦІЯ ТА МЕРЕЖЕВА ГОТОВНІСТЬ ЯК ДЕТЕРМІНАНТ</w:t>
      </w:r>
    </w:p>
    <w:p w14:paraId="7CEA6A60" w14:textId="77777777" w:rsidR="00A51827" w:rsidRPr="00A51827" w:rsidRDefault="00A51827" w:rsidP="00A51827">
      <w:pPr>
        <w:ind w:firstLine="567"/>
        <w:jc w:val="center"/>
      </w:pPr>
      <w:r w:rsidRPr="00A51827">
        <w:rPr>
          <w:b/>
          <w:bCs/>
        </w:rPr>
        <w:t>ЕКОНОМІЧНОЇ ПРОДУКТИВНОСТІ: АНАЛІЗ ПОЗИЦІЇ УКРАЇНИ</w:t>
      </w:r>
    </w:p>
    <w:p w14:paraId="47FFCCE0" w14:textId="77777777" w:rsidR="00A51827" w:rsidRPr="00A51827" w:rsidRDefault="00A51827" w:rsidP="00A51827">
      <w:pPr>
        <w:ind w:firstLine="567"/>
        <w:jc w:val="center"/>
      </w:pPr>
      <w:r w:rsidRPr="00A51827">
        <w:rPr>
          <w:b/>
          <w:bCs/>
        </w:rPr>
        <w:t>В ГЛОБАЛЬНОМУ КОНТЕКСТІ</w:t>
      </w:r>
    </w:p>
    <w:p w14:paraId="3B638BB6" w14:textId="77777777" w:rsidR="00A51827" w:rsidRPr="00A51827" w:rsidRDefault="00A51827" w:rsidP="00A51827">
      <w:pPr>
        <w:ind w:firstLine="567"/>
      </w:pPr>
    </w:p>
    <w:p w14:paraId="74F392E4" w14:textId="545B3207" w:rsidR="00A51827" w:rsidRPr="00A51827" w:rsidRDefault="00A51827" w:rsidP="00A51827">
      <w:pPr>
        <w:ind w:firstLine="567"/>
        <w:jc w:val="center"/>
      </w:pPr>
      <w:r>
        <w:rPr>
          <w:i/>
          <w:iCs/>
        </w:rPr>
        <w:t>Костенко С.О.</w:t>
      </w:r>
      <w:r w:rsidRPr="00A51827">
        <w:rPr>
          <w:i/>
          <w:iCs/>
        </w:rPr>
        <w:t xml:space="preserve">, </w:t>
      </w:r>
      <w:r w:rsidRPr="00A51827">
        <w:rPr>
          <w:i/>
          <w:iCs/>
        </w:rPr>
        <w:t xml:space="preserve">здобувач </w:t>
      </w:r>
      <w:r>
        <w:rPr>
          <w:i/>
          <w:iCs/>
          <w:lang w:val="en-US"/>
        </w:rPr>
        <w:t>PhD</w:t>
      </w:r>
      <w:r w:rsidRPr="00A51827">
        <w:rPr>
          <w:i/>
          <w:iCs/>
        </w:rPr>
        <w:t xml:space="preserve"> </w:t>
      </w:r>
      <w:r>
        <w:rPr>
          <w:i/>
          <w:iCs/>
        </w:rPr>
        <w:t>з економіки, викладач ВСП ІФК НУБіП України</w:t>
      </w:r>
    </w:p>
    <w:p w14:paraId="3F57237F" w14:textId="5D1F1A45" w:rsidR="00A51827" w:rsidRPr="00A51827" w:rsidRDefault="00A51827" w:rsidP="00A51827">
      <w:pPr>
        <w:ind w:firstLine="567"/>
        <w:jc w:val="center"/>
      </w:pPr>
      <w:proofErr w:type="spellStart"/>
      <w:r>
        <w:rPr>
          <w:i/>
          <w:iCs/>
        </w:rPr>
        <w:t>Кондрашова</w:t>
      </w:r>
      <w:proofErr w:type="spellEnd"/>
      <w:r>
        <w:rPr>
          <w:i/>
          <w:iCs/>
        </w:rPr>
        <w:t xml:space="preserve"> М.Д., студентка 4 курсу освітньої програми «Цифрова економіка»,</w:t>
      </w:r>
    </w:p>
    <w:p w14:paraId="0CF9A3EB" w14:textId="77777777" w:rsidR="00A51827" w:rsidRPr="00A51827" w:rsidRDefault="00A51827" w:rsidP="00A51827">
      <w:pPr>
        <w:ind w:firstLine="567"/>
        <w:jc w:val="center"/>
      </w:pPr>
      <w:r w:rsidRPr="00A51827">
        <w:rPr>
          <w:i/>
          <w:iCs/>
        </w:rPr>
        <w:t>Національний університет біоресурсів і природокористування України</w:t>
      </w:r>
    </w:p>
    <w:p w14:paraId="60122D9C" w14:textId="77777777" w:rsidR="00A51827" w:rsidRPr="00A51827" w:rsidRDefault="00A51827" w:rsidP="00A51827">
      <w:pPr>
        <w:ind w:firstLine="567"/>
      </w:pPr>
    </w:p>
    <w:p w14:paraId="46244616" w14:textId="2CBE8789" w:rsidR="00A51827" w:rsidRDefault="00A51827" w:rsidP="00A51827">
      <w:pPr>
        <w:ind w:firstLine="567"/>
        <w:jc w:val="both"/>
      </w:pPr>
      <w:r w:rsidRPr="00A51827">
        <w:t xml:space="preserve">Цифрова трансформація економіки є одним із ключових процесів глобального розвитку ХХІ ст., що визначає конкурентоспроможність країн і добробут населення. Вона охоплює впровадження цифрових технологій у державне управління, промисловість, фінансовий сектор, агровиробництво та малий і середній бізнес. Для України в умовах повномасштабної збройної агресії </w:t>
      </w:r>
      <w:proofErr w:type="spellStart"/>
      <w:r w:rsidRPr="00A51827">
        <w:t>цифровізація</w:t>
      </w:r>
      <w:proofErr w:type="spellEnd"/>
      <w:r w:rsidRPr="00A51827">
        <w:t xml:space="preserve"> набула подвійного стратегічного значення: з одного боку — інструмент підтримання стійкості держави (застосунок «Дія», </w:t>
      </w:r>
      <w:proofErr w:type="spellStart"/>
      <w:r w:rsidRPr="00A51827">
        <w:t>кіберзахист</w:t>
      </w:r>
      <w:proofErr w:type="spellEnd"/>
      <w:r w:rsidRPr="00A51827">
        <w:t>, е-послуги), з іншого — рушій повоєнного відновлення та євроінтеграційного зближення з цифровим простором ЄС.</w:t>
      </w:r>
    </w:p>
    <w:p w14:paraId="4E6A7D88" w14:textId="3F8A7044" w:rsidR="00A51827" w:rsidRPr="00921535" w:rsidRDefault="00A51827" w:rsidP="00921535">
      <w:pPr>
        <w:ind w:firstLine="567"/>
        <w:jc w:val="both"/>
        <w:rPr>
          <w:lang w:val="en-US"/>
        </w:rPr>
      </w:pPr>
      <w:r w:rsidRPr="00A51827">
        <w:t xml:space="preserve">Серед ключових викликів цифрової трансформації України в умовах воєнного часу виокремлюють: (1) фізичне знищення ІКТ-інфраструктури та дата-центрів, що безпосередньо впливає на </w:t>
      </w:r>
      <w:proofErr w:type="spellStart"/>
      <w:r w:rsidRPr="00A51827">
        <w:t>субіндекси</w:t>
      </w:r>
      <w:proofErr w:type="spellEnd"/>
      <w:r w:rsidRPr="00A51827">
        <w:t xml:space="preserve"> </w:t>
      </w:r>
      <w:proofErr w:type="spellStart"/>
      <w:r w:rsidRPr="00A51827">
        <w:t>Technology</w:t>
      </w:r>
      <w:proofErr w:type="spellEnd"/>
      <w:r w:rsidRPr="00A51827">
        <w:t xml:space="preserve"> та </w:t>
      </w:r>
      <w:proofErr w:type="spellStart"/>
      <w:r w:rsidRPr="00A51827">
        <w:t>People</w:t>
      </w:r>
      <w:proofErr w:type="spellEnd"/>
      <w:r w:rsidRPr="00A51827">
        <w:t xml:space="preserve">; (2) масову вимушену міграцію кваліфікованих кадрів, що визначає структурний дефіцит людського капіталу в ІТ-секторі; (3) збереження значного цифрового розриву між мегаполісами та сільськими й прифронтовими районами; (4) систематичні кібератаки на критичну інфраструктуру з боку Росії; (5) обмежений фіскальний простір для державних інвестицій у </w:t>
      </w:r>
      <w:proofErr w:type="spellStart"/>
      <w:r w:rsidRPr="00A51827">
        <w:t>цифровізацію</w:t>
      </w:r>
      <w:proofErr w:type="spellEnd"/>
      <w:r w:rsidRPr="00A51827">
        <w:t xml:space="preserve"> в умовах воєнного бюджету. Ці чинники формують специфічну «воєнно-цифрову пастку», яка пояснює значний розрив між цифровим потенціалом України та її фактичним рівнем ВНД на особу.</w:t>
      </w:r>
    </w:p>
    <w:p w14:paraId="799127E8" w14:textId="77777777" w:rsidR="00A51827" w:rsidRDefault="00A51827" w:rsidP="00A51827">
      <w:pPr>
        <w:ind w:firstLine="567"/>
        <w:jc w:val="both"/>
      </w:pPr>
      <w:r>
        <w:t xml:space="preserve">Взаємозв'язок між </w:t>
      </w:r>
      <w:proofErr w:type="spellStart"/>
      <w:r>
        <w:t>цифровізацією</w:t>
      </w:r>
      <w:proofErr w:type="spellEnd"/>
      <w:r>
        <w:t xml:space="preserve"> та економічним зростанням є предметом широкої наукової дискусії. </w:t>
      </w:r>
      <w:proofErr w:type="spellStart"/>
      <w:r>
        <w:t>Дж</w:t>
      </w:r>
      <w:proofErr w:type="spellEnd"/>
      <w:r>
        <w:t xml:space="preserve">. </w:t>
      </w:r>
      <w:proofErr w:type="spellStart"/>
      <w:r>
        <w:t>Бресналіан</w:t>
      </w:r>
      <w:proofErr w:type="spellEnd"/>
      <w:r>
        <w:t xml:space="preserve"> та Р. Гордон встановили, що ІКТ-інвестиції 1990-х рр. пояснювали більшу частину прискорення продуктивності праці у США (</w:t>
      </w:r>
      <w:proofErr w:type="spellStart"/>
      <w:r>
        <w:t>Brynjolfsson</w:t>
      </w:r>
      <w:proofErr w:type="spellEnd"/>
      <w:r>
        <w:t xml:space="preserve"> &amp; </w:t>
      </w:r>
      <w:proofErr w:type="spellStart"/>
      <w:r>
        <w:t>McAfee</w:t>
      </w:r>
      <w:proofErr w:type="spellEnd"/>
      <w:r>
        <w:t xml:space="preserve">, 2014). МВФ у серії робочих матеріалів (IMF, 2020–2023) підкреслює роль цифрової інфраструктури як незалежного детермінанта темпів зростання ВВП у країнах із перехідними економіками, зокрема через канали ефективності фінансового посередництва та підприємницької активності. </w:t>
      </w:r>
      <w:proofErr w:type="spellStart"/>
      <w:r>
        <w:t>Portulans</w:t>
      </w:r>
      <w:proofErr w:type="spellEnd"/>
      <w:r>
        <w:t xml:space="preserve"> </w:t>
      </w:r>
      <w:proofErr w:type="spellStart"/>
      <w:r>
        <w:t>Institute</w:t>
      </w:r>
      <w:proofErr w:type="spellEnd"/>
      <w:r>
        <w:t xml:space="preserve"> у щорічних доповідях NRI (2019–2025) демонструє стабільну кореляцію між NRI та ВНД на особу (ρ ≈ 0,87), а також фіксує, що країни, які випереджають очікувану продуктивність відносно свого рівня NRI (позитивний залишок регресії), зазвичай є </w:t>
      </w:r>
      <w:proofErr w:type="spellStart"/>
      <w:r>
        <w:t>нетто</w:t>
      </w:r>
      <w:proofErr w:type="spellEnd"/>
      <w:r>
        <w:t xml:space="preserve">-експортерами ІТ-послуг або </w:t>
      </w:r>
      <w:proofErr w:type="spellStart"/>
      <w:r>
        <w:t>ресурсоємними</w:t>
      </w:r>
      <w:proofErr w:type="spellEnd"/>
      <w:r>
        <w:t xml:space="preserve"> економіками.</w:t>
      </w:r>
    </w:p>
    <w:p w14:paraId="3B28CCF6" w14:textId="50B4FA1F" w:rsidR="00A51827" w:rsidRDefault="00A51827" w:rsidP="00A51827">
      <w:pPr>
        <w:ind w:firstLine="567"/>
        <w:jc w:val="both"/>
      </w:pPr>
      <w:r>
        <w:t xml:space="preserve">В Україні фундаментальні дослідження у сфері цифрової трансформації ведуть В.М. </w:t>
      </w:r>
      <w:proofErr w:type="spellStart"/>
      <w:r>
        <w:t>Геєць</w:t>
      </w:r>
      <w:proofErr w:type="spellEnd"/>
      <w:r>
        <w:t xml:space="preserve"> (ДУ «ІЕП НАН України», структурні зрушення та технологічні уклади), О.І. Барановський та Н.В. </w:t>
      </w:r>
      <w:proofErr w:type="spellStart"/>
      <w:r>
        <w:t>Резнікова</w:t>
      </w:r>
      <w:proofErr w:type="spellEnd"/>
      <w:r>
        <w:t xml:space="preserve"> (</w:t>
      </w:r>
      <w:proofErr w:type="spellStart"/>
      <w:r>
        <w:t>цифровізація</w:t>
      </w:r>
      <w:proofErr w:type="spellEnd"/>
      <w:r>
        <w:t xml:space="preserve"> МСП та фінансового сектору), колективи Інституту регіональних досліджень НАН України (регіональний цифровий розрив). Між тим питання, що потребують постійного моніторингу та поглибленого дослідження, включають: оцінку втрат продуктивності від деградації цифрової інфраструктури під час активної фази конфлікту; панельний аналіз регіональних відмінностей </w:t>
      </w:r>
      <w:proofErr w:type="spellStart"/>
      <w:r>
        <w:t>цифровізації</w:t>
      </w:r>
      <w:proofErr w:type="spellEnd"/>
      <w:r>
        <w:t xml:space="preserve"> у розрізі 24 областей; вплив </w:t>
      </w:r>
      <w:proofErr w:type="spellStart"/>
      <w:r>
        <w:t>цифровізації</w:t>
      </w:r>
      <w:proofErr w:type="spellEnd"/>
      <w:r>
        <w:t xml:space="preserve"> на структуру зайнятості та заміщення праці; ефективність публічних видатків на ІТ-інфраструктуру (програми «Дія», «Є-Ворог», </w:t>
      </w:r>
      <w:r>
        <w:lastRenderedPageBreak/>
        <w:t>«</w:t>
      </w:r>
      <w:proofErr w:type="spellStart"/>
      <w:r>
        <w:t>Дія.Бізнес</w:t>
      </w:r>
      <w:proofErr w:type="spellEnd"/>
      <w:r>
        <w:t>»); кореляцію між показниками NRI та темпами відновлення ВВП у 2024–2025 рр.</w:t>
      </w:r>
    </w:p>
    <w:p w14:paraId="0D48BD95" w14:textId="4D71C542" w:rsidR="00A51827" w:rsidRPr="00921535" w:rsidRDefault="00921535" w:rsidP="00921535">
      <w:pPr>
        <w:ind w:firstLine="567"/>
        <w:jc w:val="both"/>
        <w:rPr>
          <w:lang w:val="en-US"/>
        </w:rPr>
      </w:pPr>
      <w:r w:rsidRPr="00921535">
        <w:t xml:space="preserve">Метою дослідження є двоетапна емпірична оцінка зв'язку між мережевою готовністю та економічною продуктивністю: (1) на крос-секційній вибірці 127 країн за NRI 2025 — для встановлення глобального еталону та визначення позиції України відносно прогнозного рівня ВНД; (2) на панельних даних по Україні за 2019–2025 рр. (NRI </w:t>
      </w:r>
      <w:proofErr w:type="spellStart"/>
      <w:r w:rsidRPr="00921535">
        <w:t>Portulans</w:t>
      </w:r>
      <w:proofErr w:type="spellEnd"/>
      <w:r w:rsidRPr="00921535">
        <w:t xml:space="preserve"> </w:t>
      </w:r>
      <w:proofErr w:type="spellStart"/>
      <w:r w:rsidRPr="00921535">
        <w:t>Institute</w:t>
      </w:r>
      <w:proofErr w:type="spellEnd"/>
      <w:r w:rsidRPr="00921535">
        <w:t>) — для аналізу траєкторії та структурних змін цифрового розвитку в умовах воєнного часу. Результати дослідження мають практичне значення для обґрунтування пріоритетів цифрової складової повоєнного відновлення та євроінтеграційного зближення з цифровим простором ЄС.</w:t>
      </w:r>
    </w:p>
    <w:p w14:paraId="6B0454CA" w14:textId="0D3FB411" w:rsidR="00A51827" w:rsidRPr="00A51827" w:rsidRDefault="00A51827" w:rsidP="00A51827">
      <w:pPr>
        <w:ind w:firstLine="567"/>
        <w:jc w:val="both"/>
      </w:pPr>
      <w:r w:rsidRPr="00A51827">
        <w:t>Для кількісної оцінки цифрового розвитку в порівняльному аспекті використовується індекс мережевої готовності (</w:t>
      </w:r>
      <w:proofErr w:type="spellStart"/>
      <w:r w:rsidRPr="00A51827">
        <w:t>Network</w:t>
      </w:r>
      <w:proofErr w:type="spellEnd"/>
      <w:r w:rsidRPr="00A51827">
        <w:t xml:space="preserve"> </w:t>
      </w:r>
      <w:proofErr w:type="spellStart"/>
      <w:r w:rsidRPr="00A51827">
        <w:t>Readiness</w:t>
      </w:r>
      <w:proofErr w:type="spellEnd"/>
      <w:r w:rsidRPr="00A51827">
        <w:t xml:space="preserve"> </w:t>
      </w:r>
      <w:proofErr w:type="spellStart"/>
      <w:r w:rsidRPr="00A51827">
        <w:t>Index</w:t>
      </w:r>
      <w:proofErr w:type="spellEnd"/>
      <w:r w:rsidRPr="00A51827">
        <w:t xml:space="preserve">, NRI) </w:t>
      </w:r>
      <w:proofErr w:type="spellStart"/>
      <w:r w:rsidRPr="00A51827">
        <w:t>Portulans</w:t>
      </w:r>
      <w:proofErr w:type="spellEnd"/>
      <w:r w:rsidRPr="00A51827">
        <w:t xml:space="preserve"> </w:t>
      </w:r>
      <w:proofErr w:type="spellStart"/>
      <w:r w:rsidRPr="00A51827">
        <w:t>Institute</w:t>
      </w:r>
      <w:proofErr w:type="spellEnd"/>
      <w:r w:rsidRPr="00A51827">
        <w:t xml:space="preserve"> — комплексний показник, що охоплює чотири пілони: </w:t>
      </w:r>
      <w:proofErr w:type="spellStart"/>
      <w:r w:rsidRPr="00A51827">
        <w:t>Technology</w:t>
      </w:r>
      <w:proofErr w:type="spellEnd"/>
      <w:r w:rsidRPr="00A51827">
        <w:t xml:space="preserve">, </w:t>
      </w:r>
      <w:proofErr w:type="spellStart"/>
      <w:r w:rsidRPr="00A51827">
        <w:t>People</w:t>
      </w:r>
      <w:proofErr w:type="spellEnd"/>
      <w:r w:rsidRPr="00A51827">
        <w:t xml:space="preserve">, </w:t>
      </w:r>
      <w:proofErr w:type="spellStart"/>
      <w:r w:rsidRPr="00A51827">
        <w:t>Governance</w:t>
      </w:r>
      <w:proofErr w:type="spellEnd"/>
      <w:r w:rsidRPr="00A51827">
        <w:t xml:space="preserve"> та </w:t>
      </w:r>
      <w:proofErr w:type="spellStart"/>
      <w:r w:rsidRPr="00A51827">
        <w:t>Impact</w:t>
      </w:r>
      <w:proofErr w:type="spellEnd"/>
      <w:r w:rsidRPr="00A51827">
        <w:t xml:space="preserve">. Він розраховується щорічно для понад 120 країн і дозволяє зіставляти рівень </w:t>
      </w:r>
      <w:proofErr w:type="spellStart"/>
      <w:r w:rsidRPr="00A51827">
        <w:t>цифровізації</w:t>
      </w:r>
      <w:proofErr w:type="spellEnd"/>
      <w:r w:rsidRPr="00A51827">
        <w:t xml:space="preserve"> незалежно від обсягу економіки. Як показник продуктивності економіки обрано ВНД на особу (GNI </w:t>
      </w:r>
      <w:proofErr w:type="spellStart"/>
      <w:r w:rsidRPr="00A51827">
        <w:t>per</w:t>
      </w:r>
      <w:proofErr w:type="spellEnd"/>
      <w:r w:rsidRPr="00A51827">
        <w:t xml:space="preserve"> </w:t>
      </w:r>
      <w:proofErr w:type="spellStart"/>
      <w:r w:rsidRPr="00A51827">
        <w:t>capita</w:t>
      </w:r>
      <w:proofErr w:type="spellEnd"/>
      <w:r w:rsidRPr="00A51827">
        <w:t xml:space="preserve">, метод Атлас, USD), що є стандартним індикатором добробуту Світового банку та відображає сукупну продуктивність праці у масштабах країни. Логарифмічна форма залежності дозволяє описати нелінійний характер зростання добробуту відносно рівня </w:t>
      </w:r>
      <w:proofErr w:type="spellStart"/>
      <w:r w:rsidRPr="00A51827">
        <w:t>цифровізації</w:t>
      </w:r>
      <w:proofErr w:type="spellEnd"/>
      <w:r w:rsidRPr="00A51827">
        <w:t>.</w:t>
      </w:r>
    </w:p>
    <w:p w14:paraId="468F7EC3" w14:textId="20E6CBBC" w:rsidR="00A51827" w:rsidRPr="00A51827" w:rsidRDefault="00A51827" w:rsidP="00A51827">
      <w:pPr>
        <w:ind w:firstLine="567"/>
        <w:jc w:val="both"/>
      </w:pPr>
      <w:r w:rsidRPr="00A51827">
        <w:t>За даними NRI 2025 (</w:t>
      </w:r>
      <w:proofErr w:type="spellStart"/>
      <w:r w:rsidRPr="00A51827">
        <w:t>Portulans</w:t>
      </w:r>
      <w:proofErr w:type="spellEnd"/>
      <w:r w:rsidRPr="00A51827">
        <w:t xml:space="preserve"> </w:t>
      </w:r>
      <w:proofErr w:type="spellStart"/>
      <w:r w:rsidRPr="00A51827">
        <w:t>Institute</w:t>
      </w:r>
      <w:proofErr w:type="spellEnd"/>
      <w:r w:rsidRPr="00A51827">
        <w:t xml:space="preserve">, 2025), Україна посідає 46-те місце серед 127 економік з інтегральним балом 54,30. Найсильнішим пілоном залишається </w:t>
      </w:r>
      <w:proofErr w:type="spellStart"/>
      <w:r w:rsidRPr="00A51827">
        <w:t>Governance</w:t>
      </w:r>
      <w:proofErr w:type="spellEnd"/>
      <w:r w:rsidRPr="00A51827">
        <w:t xml:space="preserve"> (69,68 </w:t>
      </w:r>
      <w:proofErr w:type="spellStart"/>
      <w:r w:rsidRPr="00A51827">
        <w:t>бала</w:t>
      </w:r>
      <w:proofErr w:type="spellEnd"/>
      <w:r w:rsidRPr="00A51827">
        <w:t xml:space="preserve">, 45-те місце у світі), що відображає прогрес у сфері е-урядування; найслабшим — </w:t>
      </w:r>
      <w:proofErr w:type="spellStart"/>
      <w:r w:rsidRPr="00A51827">
        <w:t>Technology</w:t>
      </w:r>
      <w:proofErr w:type="spellEnd"/>
      <w:r w:rsidRPr="00A51827">
        <w:t xml:space="preserve"> (44,85 </w:t>
      </w:r>
      <w:proofErr w:type="spellStart"/>
      <w:r w:rsidRPr="00A51827">
        <w:t>бала</w:t>
      </w:r>
      <w:proofErr w:type="spellEnd"/>
      <w:r w:rsidRPr="00A51827">
        <w:t xml:space="preserve">, 59-те місце), що пов'язано з руйнуванням ІКТ-інфраструктури. Динаміка NRI України за 2019–2025 рр. характеризується двома фазами: зростанням з 48,92 (2019) до 55,71 (2022) та подальшою стабілізацією в діапазоні 54–56 балів на тлі структурних деформацій воєнного часу. Примітно, що </w:t>
      </w:r>
      <w:proofErr w:type="spellStart"/>
      <w:r w:rsidRPr="00A51827">
        <w:t>Governance</w:t>
      </w:r>
      <w:proofErr w:type="spellEnd"/>
      <w:r w:rsidRPr="00A51827">
        <w:t xml:space="preserve"> стабільно зростає (+11,4 б. за 2019–2025 рр.), тоді як </w:t>
      </w:r>
      <w:proofErr w:type="spellStart"/>
      <w:r w:rsidRPr="00A51827">
        <w:t>Technology</w:t>
      </w:r>
      <w:proofErr w:type="spellEnd"/>
      <w:r w:rsidRPr="00A51827">
        <w:t xml:space="preserve"> та </w:t>
      </w:r>
      <w:proofErr w:type="spellStart"/>
      <w:r w:rsidRPr="00A51827">
        <w:t>People</w:t>
      </w:r>
      <w:proofErr w:type="spellEnd"/>
      <w:r w:rsidRPr="00A51827">
        <w:t xml:space="preserve"> знизились від пікових значень через міграцію та пошкодження інфраструктури.</w:t>
      </w:r>
    </w:p>
    <w:p w14:paraId="09FED802" w14:textId="77777777" w:rsidR="00A51827" w:rsidRPr="00A51827" w:rsidRDefault="00A51827" w:rsidP="00A51827">
      <w:pPr>
        <w:ind w:firstLine="567"/>
        <w:jc w:val="both"/>
      </w:pPr>
      <w:r w:rsidRPr="00A51827">
        <w:rPr>
          <w:b/>
          <w:bCs/>
        </w:rPr>
        <w:t>Таблиця 1.</w:t>
      </w:r>
      <w:r w:rsidRPr="00A51827">
        <w:t xml:space="preserve"> Динаміка NRI та </w:t>
      </w:r>
      <w:proofErr w:type="spellStart"/>
      <w:r w:rsidRPr="00A51827">
        <w:t>субіндексів</w:t>
      </w:r>
      <w:proofErr w:type="spellEnd"/>
      <w:r w:rsidRPr="00A51827">
        <w:t xml:space="preserve"> України, 2019–2025 рр.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7"/>
        <w:gridCol w:w="989"/>
        <w:gridCol w:w="1271"/>
        <w:gridCol w:w="989"/>
        <w:gridCol w:w="989"/>
        <w:gridCol w:w="989"/>
        <w:gridCol w:w="1002"/>
        <w:gridCol w:w="2126"/>
      </w:tblGrid>
      <w:tr w:rsidR="00A51827" w:rsidRPr="00A51827" w14:paraId="2D75415C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B17E0D" w14:textId="77777777" w:rsidR="00A51827" w:rsidRPr="00A51827" w:rsidRDefault="00A51827" w:rsidP="00A51827">
            <w:pPr>
              <w:jc w:val="center"/>
            </w:pPr>
            <w:r w:rsidRPr="00A51827">
              <w:rPr>
                <w:b/>
                <w:bCs/>
              </w:rPr>
              <w:t>Рік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43D6A7B" w14:textId="77777777" w:rsidR="00A51827" w:rsidRPr="00A51827" w:rsidRDefault="00A51827" w:rsidP="00A51827">
            <w:pPr>
              <w:jc w:val="center"/>
            </w:pPr>
            <w:r w:rsidRPr="00A51827">
              <w:rPr>
                <w:b/>
                <w:bCs/>
              </w:rPr>
              <w:t>NRI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32A952C" w14:textId="77777777" w:rsidR="00A51827" w:rsidRPr="00A51827" w:rsidRDefault="00A51827" w:rsidP="00A51827">
            <w:pPr>
              <w:jc w:val="center"/>
            </w:pPr>
            <w:r w:rsidRPr="00A51827">
              <w:rPr>
                <w:b/>
                <w:bCs/>
              </w:rPr>
              <w:t>Місце / N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A9A46E" w14:textId="77777777" w:rsidR="00A51827" w:rsidRPr="00A51827" w:rsidRDefault="00A51827" w:rsidP="00A51827">
            <w:pPr>
              <w:jc w:val="center"/>
            </w:pPr>
            <w:proofErr w:type="spellStart"/>
            <w:r w:rsidRPr="00A51827">
              <w:rPr>
                <w:b/>
                <w:bCs/>
              </w:rPr>
              <w:t>Tech</w:t>
            </w:r>
            <w:proofErr w:type="spellEnd"/>
            <w:r w:rsidRPr="00A51827">
              <w:rPr>
                <w:b/>
                <w:bCs/>
              </w:rPr>
              <w:t>.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15FBEF" w14:textId="77777777" w:rsidR="00A51827" w:rsidRPr="00A51827" w:rsidRDefault="00A51827" w:rsidP="00A51827">
            <w:pPr>
              <w:jc w:val="center"/>
            </w:pPr>
            <w:proofErr w:type="spellStart"/>
            <w:r w:rsidRPr="00A51827">
              <w:rPr>
                <w:b/>
                <w:bCs/>
              </w:rPr>
              <w:t>People</w:t>
            </w:r>
            <w:proofErr w:type="spellEnd"/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ECFDA" w14:textId="77777777" w:rsidR="00A51827" w:rsidRPr="00A51827" w:rsidRDefault="00A51827" w:rsidP="00A51827">
            <w:pPr>
              <w:jc w:val="center"/>
            </w:pPr>
            <w:proofErr w:type="spellStart"/>
            <w:r w:rsidRPr="00A51827">
              <w:rPr>
                <w:b/>
                <w:bCs/>
              </w:rPr>
              <w:t>Gov</w:t>
            </w:r>
            <w:proofErr w:type="spellEnd"/>
            <w:r w:rsidRPr="00A51827">
              <w:rPr>
                <w:b/>
                <w:bCs/>
              </w:rPr>
              <w:t>.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28915F" w14:textId="77777777" w:rsidR="00A51827" w:rsidRPr="00A51827" w:rsidRDefault="00A51827" w:rsidP="00A51827">
            <w:pPr>
              <w:jc w:val="center"/>
            </w:pPr>
            <w:proofErr w:type="spellStart"/>
            <w:r w:rsidRPr="00A51827">
              <w:rPr>
                <w:b/>
                <w:bCs/>
              </w:rPr>
              <w:t>Impact</w:t>
            </w:r>
            <w:proofErr w:type="spellEnd"/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95DC5AC" w14:textId="77777777" w:rsidR="00A51827" w:rsidRPr="00A51827" w:rsidRDefault="00A51827" w:rsidP="00A51827">
            <w:pPr>
              <w:jc w:val="center"/>
            </w:pPr>
            <w:r w:rsidRPr="00A51827">
              <w:rPr>
                <w:b/>
                <w:bCs/>
              </w:rPr>
              <w:t>ВНД/ос., USD</w:t>
            </w:r>
          </w:p>
        </w:tc>
      </w:tr>
      <w:tr w:rsidR="00A51827" w:rsidRPr="00A51827" w14:paraId="07345FC3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593327" w14:textId="77777777" w:rsidR="00A51827" w:rsidRPr="00A51827" w:rsidRDefault="00A51827" w:rsidP="00A51827">
            <w:pPr>
              <w:jc w:val="center"/>
            </w:pPr>
            <w:r w:rsidRPr="00A51827">
              <w:t>2019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70C12A5" w14:textId="77777777" w:rsidR="00A51827" w:rsidRPr="00A51827" w:rsidRDefault="00A51827" w:rsidP="00A51827">
            <w:pPr>
              <w:jc w:val="center"/>
            </w:pPr>
            <w:r w:rsidRPr="00A51827">
              <w:t>48,92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34159E" w14:textId="77777777" w:rsidR="00A51827" w:rsidRPr="00A51827" w:rsidRDefault="00A51827" w:rsidP="00A51827">
            <w:pPr>
              <w:jc w:val="center"/>
            </w:pPr>
            <w:r w:rsidRPr="00A51827">
              <w:t>67/121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2E016E" w14:textId="77777777" w:rsidR="00A51827" w:rsidRPr="00A51827" w:rsidRDefault="00A51827" w:rsidP="00A51827">
            <w:pPr>
              <w:jc w:val="center"/>
            </w:pPr>
            <w:r w:rsidRPr="00A51827">
              <w:t>43,01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1F980D3" w14:textId="77777777" w:rsidR="00A51827" w:rsidRPr="00A51827" w:rsidRDefault="00A51827" w:rsidP="00A51827">
            <w:pPr>
              <w:jc w:val="center"/>
            </w:pPr>
            <w:r w:rsidRPr="00A51827">
              <w:t>42,05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CFEA67" w14:textId="77777777" w:rsidR="00A51827" w:rsidRPr="00A51827" w:rsidRDefault="00A51827" w:rsidP="00A51827">
            <w:pPr>
              <w:jc w:val="center"/>
            </w:pPr>
            <w:r w:rsidRPr="00A51827">
              <w:t>58,32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26063C1" w14:textId="77777777" w:rsidR="00A51827" w:rsidRPr="00A51827" w:rsidRDefault="00A51827" w:rsidP="00A51827">
            <w:pPr>
              <w:jc w:val="center"/>
            </w:pPr>
            <w:r w:rsidRPr="00A51827">
              <w:t>52,31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DFEA81" w14:textId="77777777" w:rsidR="00A51827" w:rsidRPr="00A51827" w:rsidRDefault="00A51827" w:rsidP="00A51827">
            <w:pPr>
              <w:jc w:val="center"/>
            </w:pPr>
            <w:r w:rsidRPr="00A51827">
              <w:t>13 700</w:t>
            </w:r>
          </w:p>
        </w:tc>
      </w:tr>
      <w:tr w:rsidR="00A51827" w:rsidRPr="00A51827" w14:paraId="67F8FD3B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4A69EB" w14:textId="77777777" w:rsidR="00A51827" w:rsidRPr="00A51827" w:rsidRDefault="00A51827" w:rsidP="00A51827">
            <w:pPr>
              <w:jc w:val="center"/>
            </w:pPr>
            <w:r w:rsidRPr="00A51827">
              <w:t>2020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CE5168" w14:textId="77777777" w:rsidR="00A51827" w:rsidRPr="00A51827" w:rsidRDefault="00A51827" w:rsidP="00A51827">
            <w:pPr>
              <w:jc w:val="center"/>
            </w:pPr>
            <w:r w:rsidRPr="00A51827">
              <w:t>49,43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A15F87E" w14:textId="77777777" w:rsidR="00A51827" w:rsidRPr="00A51827" w:rsidRDefault="00A51827" w:rsidP="00A51827">
            <w:pPr>
              <w:jc w:val="center"/>
            </w:pPr>
            <w:r w:rsidRPr="00A51827">
              <w:t>64/134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7EAE154" w14:textId="77777777" w:rsidR="00A51827" w:rsidRPr="00A51827" w:rsidRDefault="00A51827" w:rsidP="00A51827">
            <w:pPr>
              <w:jc w:val="center"/>
            </w:pPr>
            <w:r w:rsidRPr="00A51827">
              <w:t>41,51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D3080B" w14:textId="77777777" w:rsidR="00A51827" w:rsidRPr="00A51827" w:rsidRDefault="00A51827" w:rsidP="00A51827">
            <w:pPr>
              <w:jc w:val="center"/>
            </w:pPr>
            <w:r w:rsidRPr="00A51827">
              <w:t>48,87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2E84E23" w14:textId="77777777" w:rsidR="00A51827" w:rsidRPr="00A51827" w:rsidRDefault="00A51827" w:rsidP="00A51827">
            <w:pPr>
              <w:jc w:val="center"/>
            </w:pPr>
            <w:r w:rsidRPr="00A51827">
              <w:t>58,19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0A5AC5" w14:textId="77777777" w:rsidR="00A51827" w:rsidRPr="00A51827" w:rsidRDefault="00A51827" w:rsidP="00A51827">
            <w:pPr>
              <w:jc w:val="center"/>
            </w:pPr>
            <w:r w:rsidRPr="00A51827">
              <w:t>49,16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493166" w14:textId="77777777" w:rsidR="00A51827" w:rsidRPr="00A51827" w:rsidRDefault="00A51827" w:rsidP="00A51827">
            <w:pPr>
              <w:jc w:val="center"/>
            </w:pPr>
            <w:r w:rsidRPr="00A51827">
              <w:t>12 850</w:t>
            </w:r>
          </w:p>
        </w:tc>
      </w:tr>
      <w:tr w:rsidR="00A51827" w:rsidRPr="00A51827" w14:paraId="55CD0601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6179ED8" w14:textId="77777777" w:rsidR="00A51827" w:rsidRPr="00A51827" w:rsidRDefault="00A51827" w:rsidP="00A51827">
            <w:pPr>
              <w:jc w:val="center"/>
            </w:pPr>
            <w:r w:rsidRPr="00A51827">
              <w:t>2021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3359936" w14:textId="77777777" w:rsidR="00A51827" w:rsidRPr="00A51827" w:rsidRDefault="00A51827" w:rsidP="00A51827">
            <w:pPr>
              <w:jc w:val="center"/>
            </w:pPr>
            <w:r w:rsidRPr="00A51827">
              <w:t>55,70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43972B" w14:textId="77777777" w:rsidR="00A51827" w:rsidRPr="00A51827" w:rsidRDefault="00A51827" w:rsidP="00A51827">
            <w:pPr>
              <w:jc w:val="center"/>
            </w:pPr>
            <w:r w:rsidRPr="00A51827">
              <w:t>53/134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E0B0B56" w14:textId="77777777" w:rsidR="00A51827" w:rsidRPr="00A51827" w:rsidRDefault="00A51827" w:rsidP="00A51827">
            <w:pPr>
              <w:jc w:val="center"/>
            </w:pPr>
            <w:r w:rsidRPr="00A51827">
              <w:t>50,52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BEBD5A" w14:textId="77777777" w:rsidR="00A51827" w:rsidRPr="00A51827" w:rsidRDefault="00A51827" w:rsidP="00A51827">
            <w:pPr>
              <w:jc w:val="center"/>
            </w:pPr>
            <w:r w:rsidRPr="00A51827">
              <w:t>54,43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73211A" w14:textId="77777777" w:rsidR="00A51827" w:rsidRPr="00A51827" w:rsidRDefault="00A51827" w:rsidP="00A51827">
            <w:pPr>
              <w:jc w:val="center"/>
            </w:pPr>
            <w:r w:rsidRPr="00A51827">
              <w:t>60,81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3C9C295" w14:textId="77777777" w:rsidR="00A51827" w:rsidRPr="00A51827" w:rsidRDefault="00A51827" w:rsidP="00A51827">
            <w:pPr>
              <w:jc w:val="center"/>
            </w:pPr>
            <w:r w:rsidRPr="00A51827">
              <w:t>57,08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E3A8353" w14:textId="77777777" w:rsidR="00A51827" w:rsidRPr="00A51827" w:rsidRDefault="00A51827" w:rsidP="00A51827">
            <w:pPr>
              <w:jc w:val="center"/>
            </w:pPr>
            <w:r w:rsidRPr="00A51827">
              <w:t>13 800</w:t>
            </w:r>
          </w:p>
        </w:tc>
      </w:tr>
      <w:tr w:rsidR="00A51827" w:rsidRPr="00A51827" w14:paraId="7AAA7959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6C4222" w14:textId="77777777" w:rsidR="00A51827" w:rsidRPr="00A51827" w:rsidRDefault="00A51827" w:rsidP="00A51827">
            <w:pPr>
              <w:jc w:val="center"/>
            </w:pPr>
            <w:r w:rsidRPr="00A51827">
              <w:t>2022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531F02A" w14:textId="77777777" w:rsidR="00A51827" w:rsidRPr="00A51827" w:rsidRDefault="00A51827" w:rsidP="00A51827">
            <w:pPr>
              <w:jc w:val="center"/>
            </w:pPr>
            <w:r w:rsidRPr="00A51827">
              <w:t>55,71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7D73E9F" w14:textId="77777777" w:rsidR="00A51827" w:rsidRPr="00A51827" w:rsidRDefault="00A51827" w:rsidP="00A51827">
            <w:pPr>
              <w:jc w:val="center"/>
            </w:pPr>
            <w:r w:rsidRPr="00A51827">
              <w:t>50/131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8A188D" w14:textId="77777777" w:rsidR="00A51827" w:rsidRPr="00A51827" w:rsidRDefault="00A51827" w:rsidP="00A51827">
            <w:pPr>
              <w:jc w:val="center"/>
            </w:pPr>
            <w:r w:rsidRPr="00A51827">
              <w:t>50,52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DCBB4D" w14:textId="77777777" w:rsidR="00A51827" w:rsidRPr="00A51827" w:rsidRDefault="00A51827" w:rsidP="00A51827">
            <w:pPr>
              <w:jc w:val="center"/>
            </w:pPr>
            <w:r w:rsidRPr="00A51827">
              <w:t>54,43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A0A7043" w14:textId="77777777" w:rsidR="00A51827" w:rsidRPr="00A51827" w:rsidRDefault="00A51827" w:rsidP="00A51827">
            <w:pPr>
              <w:jc w:val="center"/>
            </w:pPr>
            <w:r w:rsidRPr="00A51827">
              <w:t>60,81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D817469" w14:textId="77777777" w:rsidR="00A51827" w:rsidRPr="00A51827" w:rsidRDefault="00A51827" w:rsidP="00A51827">
            <w:pPr>
              <w:jc w:val="center"/>
            </w:pPr>
            <w:r w:rsidRPr="00A51827">
              <w:t>57,08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5BB138" w14:textId="77777777" w:rsidR="00A51827" w:rsidRPr="00A51827" w:rsidRDefault="00A51827" w:rsidP="00A51827">
            <w:pPr>
              <w:jc w:val="center"/>
            </w:pPr>
            <w:r w:rsidRPr="00A51827">
              <w:t>13 088</w:t>
            </w:r>
          </w:p>
        </w:tc>
      </w:tr>
      <w:tr w:rsidR="00A51827" w:rsidRPr="00A51827" w14:paraId="5009D9A2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8FE3A86" w14:textId="77777777" w:rsidR="00A51827" w:rsidRPr="00A51827" w:rsidRDefault="00A51827" w:rsidP="00A51827">
            <w:pPr>
              <w:jc w:val="center"/>
            </w:pPr>
            <w:r w:rsidRPr="00A51827">
              <w:t>2023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1815CC" w14:textId="77777777" w:rsidR="00A51827" w:rsidRPr="00A51827" w:rsidRDefault="00A51827" w:rsidP="00A51827">
            <w:pPr>
              <w:jc w:val="center"/>
            </w:pPr>
            <w:r w:rsidRPr="00A51827">
              <w:t>55,16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091B55" w14:textId="77777777" w:rsidR="00A51827" w:rsidRPr="00A51827" w:rsidRDefault="00A51827" w:rsidP="00A51827">
            <w:pPr>
              <w:jc w:val="center"/>
            </w:pPr>
            <w:r w:rsidRPr="00A51827">
              <w:t>43/131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F6A7F1F" w14:textId="77777777" w:rsidR="00A51827" w:rsidRPr="00A51827" w:rsidRDefault="00A51827" w:rsidP="00A51827">
            <w:pPr>
              <w:jc w:val="center"/>
            </w:pPr>
            <w:r w:rsidRPr="00A51827">
              <w:t>47,84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39B89AC" w14:textId="77777777" w:rsidR="00A51827" w:rsidRPr="00A51827" w:rsidRDefault="00A51827" w:rsidP="00A51827">
            <w:pPr>
              <w:jc w:val="center"/>
            </w:pPr>
            <w:r w:rsidRPr="00A51827">
              <w:t>57,07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0FD7B48" w14:textId="77777777" w:rsidR="00A51827" w:rsidRPr="00A51827" w:rsidRDefault="00A51827" w:rsidP="00A51827">
            <w:pPr>
              <w:jc w:val="center"/>
            </w:pPr>
            <w:r w:rsidRPr="00A51827">
              <w:t>60,00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76F2CEE" w14:textId="77777777" w:rsidR="00A51827" w:rsidRPr="00A51827" w:rsidRDefault="00A51827" w:rsidP="00A51827">
            <w:pPr>
              <w:jc w:val="center"/>
            </w:pPr>
            <w:r w:rsidRPr="00A51827">
              <w:t>55,72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1B9402" w14:textId="77777777" w:rsidR="00A51827" w:rsidRPr="00A51827" w:rsidRDefault="00A51827" w:rsidP="00A51827">
            <w:pPr>
              <w:jc w:val="center"/>
            </w:pPr>
            <w:r w:rsidRPr="00A51827">
              <w:t>14 326</w:t>
            </w:r>
          </w:p>
        </w:tc>
      </w:tr>
      <w:tr w:rsidR="00A51827" w:rsidRPr="00A51827" w14:paraId="58F8F7D8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4EEEB94" w14:textId="77777777" w:rsidR="00A51827" w:rsidRPr="00A51827" w:rsidRDefault="00A51827" w:rsidP="00A51827">
            <w:pPr>
              <w:jc w:val="center"/>
            </w:pPr>
            <w:r w:rsidRPr="00A51827">
              <w:t>2024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CD04A6E" w14:textId="77777777" w:rsidR="00A51827" w:rsidRPr="00A51827" w:rsidRDefault="00A51827" w:rsidP="00A51827">
            <w:pPr>
              <w:jc w:val="center"/>
            </w:pPr>
            <w:r w:rsidRPr="00A51827">
              <w:t>55,32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DC44A9B" w14:textId="77777777" w:rsidR="00A51827" w:rsidRPr="00A51827" w:rsidRDefault="00A51827" w:rsidP="00A51827">
            <w:pPr>
              <w:jc w:val="center"/>
            </w:pPr>
            <w:r w:rsidRPr="00A51827">
              <w:t>43/134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E6F04D5" w14:textId="77777777" w:rsidR="00A51827" w:rsidRPr="00A51827" w:rsidRDefault="00A51827" w:rsidP="00A51827">
            <w:pPr>
              <w:jc w:val="center"/>
            </w:pPr>
            <w:r w:rsidRPr="00A51827">
              <w:t>48,96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194822" w14:textId="77777777" w:rsidR="00A51827" w:rsidRPr="00A51827" w:rsidRDefault="00A51827" w:rsidP="00A51827">
            <w:pPr>
              <w:jc w:val="center"/>
            </w:pPr>
            <w:r w:rsidRPr="00A51827">
              <w:t>51,83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F0F148" w14:textId="77777777" w:rsidR="00A51827" w:rsidRPr="00A51827" w:rsidRDefault="00A51827" w:rsidP="00A51827">
            <w:pPr>
              <w:jc w:val="center"/>
            </w:pPr>
            <w:r w:rsidRPr="00A51827">
              <w:t>63,14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652216" w14:textId="77777777" w:rsidR="00A51827" w:rsidRPr="00A51827" w:rsidRDefault="00A51827" w:rsidP="00A51827">
            <w:pPr>
              <w:jc w:val="center"/>
            </w:pPr>
            <w:r w:rsidRPr="00A51827">
              <w:t>57,34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D9720B" w14:textId="77777777" w:rsidR="00A51827" w:rsidRPr="00A51827" w:rsidRDefault="00A51827" w:rsidP="00A51827">
            <w:pPr>
              <w:jc w:val="center"/>
            </w:pPr>
            <w:r w:rsidRPr="00A51827">
              <w:t>14 878</w:t>
            </w:r>
          </w:p>
        </w:tc>
      </w:tr>
      <w:tr w:rsidR="00A51827" w:rsidRPr="00A51827" w14:paraId="320C3F59" w14:textId="77777777" w:rsidTr="006F6FB6">
        <w:tblPrEx>
          <w:tblCellMar>
            <w:top w:w="0" w:type="dxa"/>
            <w:bottom w:w="0" w:type="dxa"/>
          </w:tblCellMar>
        </w:tblPrEx>
        <w:tc>
          <w:tcPr>
            <w:tcW w:w="63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249103A" w14:textId="77777777" w:rsidR="00A51827" w:rsidRPr="00A51827" w:rsidRDefault="00A51827" w:rsidP="00A51827">
            <w:pPr>
              <w:jc w:val="center"/>
            </w:pPr>
            <w:r w:rsidRPr="00A51827">
              <w:t>2025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007D74" w14:textId="77777777" w:rsidR="00A51827" w:rsidRPr="00A51827" w:rsidRDefault="00A51827" w:rsidP="00A51827">
            <w:pPr>
              <w:jc w:val="center"/>
            </w:pPr>
            <w:r w:rsidRPr="00A51827">
              <w:t>54,30</w:t>
            </w:r>
          </w:p>
        </w:tc>
        <w:tc>
          <w:tcPr>
            <w:tcW w:w="113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5D992B3" w14:textId="77777777" w:rsidR="00A51827" w:rsidRPr="00A51827" w:rsidRDefault="00A51827" w:rsidP="00A51827">
            <w:pPr>
              <w:jc w:val="center"/>
            </w:pPr>
            <w:r w:rsidRPr="00A51827">
              <w:t>46/127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6DDA268" w14:textId="77777777" w:rsidR="00A51827" w:rsidRPr="00A51827" w:rsidRDefault="00A51827" w:rsidP="00A51827">
            <w:pPr>
              <w:jc w:val="center"/>
            </w:pPr>
            <w:r w:rsidRPr="00A51827">
              <w:t>44,85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AC77A1" w14:textId="77777777" w:rsidR="00A51827" w:rsidRPr="00A51827" w:rsidRDefault="00A51827" w:rsidP="00A51827">
            <w:pPr>
              <w:jc w:val="center"/>
            </w:pPr>
            <w:r w:rsidRPr="00A51827">
              <w:t>46,66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6761B1B" w14:textId="77777777" w:rsidR="00A51827" w:rsidRPr="00A51827" w:rsidRDefault="00A51827" w:rsidP="00A51827">
            <w:pPr>
              <w:jc w:val="center"/>
            </w:pPr>
            <w:r w:rsidRPr="00A51827">
              <w:t>69,68</w:t>
            </w:r>
          </w:p>
        </w:tc>
        <w:tc>
          <w:tcPr>
            <w:tcW w:w="88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FA9673" w14:textId="77777777" w:rsidR="00A51827" w:rsidRPr="00A51827" w:rsidRDefault="00A51827" w:rsidP="00A51827">
            <w:pPr>
              <w:jc w:val="center"/>
            </w:pPr>
            <w:r w:rsidRPr="00A51827">
              <w:t>56,01</w:t>
            </w:r>
          </w:p>
        </w:tc>
        <w:tc>
          <w:tcPr>
            <w:tcW w:w="1896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76AAA18" w14:textId="77777777" w:rsidR="00A51827" w:rsidRPr="00A51827" w:rsidRDefault="00A51827" w:rsidP="00A51827">
            <w:pPr>
              <w:jc w:val="center"/>
            </w:pPr>
            <w:r w:rsidRPr="00A51827">
              <w:t>20 904</w:t>
            </w:r>
          </w:p>
        </w:tc>
      </w:tr>
    </w:tbl>
    <w:p w14:paraId="1AE71100" w14:textId="77777777" w:rsidR="00A51827" w:rsidRPr="00A51827" w:rsidRDefault="00A51827" w:rsidP="00A51827">
      <w:pPr>
        <w:ind w:firstLine="567"/>
        <w:jc w:val="both"/>
      </w:pPr>
      <w:r w:rsidRPr="00A51827">
        <w:rPr>
          <w:i/>
          <w:iCs/>
        </w:rPr>
        <w:t>Джерело: NRI 2019–2025 (</w:t>
      </w:r>
      <w:proofErr w:type="spellStart"/>
      <w:r w:rsidRPr="00A51827">
        <w:rPr>
          <w:i/>
          <w:iCs/>
        </w:rPr>
        <w:t>Portulans</w:t>
      </w:r>
      <w:proofErr w:type="spellEnd"/>
      <w:r w:rsidRPr="00A51827">
        <w:rPr>
          <w:i/>
          <w:iCs/>
        </w:rPr>
        <w:t xml:space="preserve"> </w:t>
      </w:r>
      <w:proofErr w:type="spellStart"/>
      <w:r w:rsidRPr="00A51827">
        <w:rPr>
          <w:i/>
          <w:iCs/>
        </w:rPr>
        <w:t>Institute</w:t>
      </w:r>
      <w:proofErr w:type="spellEnd"/>
      <w:r w:rsidRPr="00A51827">
        <w:rPr>
          <w:i/>
          <w:iCs/>
        </w:rPr>
        <w:t xml:space="preserve">); WB </w:t>
      </w:r>
      <w:proofErr w:type="spellStart"/>
      <w:r w:rsidRPr="00A51827">
        <w:rPr>
          <w:i/>
          <w:iCs/>
        </w:rPr>
        <w:t>Atlas</w:t>
      </w:r>
      <w:proofErr w:type="spellEnd"/>
      <w:r w:rsidRPr="00A51827">
        <w:rPr>
          <w:i/>
          <w:iCs/>
        </w:rPr>
        <w:t xml:space="preserve"> </w:t>
      </w:r>
      <w:proofErr w:type="spellStart"/>
      <w:r w:rsidRPr="00A51827">
        <w:rPr>
          <w:i/>
          <w:iCs/>
        </w:rPr>
        <w:t>method</w:t>
      </w:r>
      <w:proofErr w:type="spellEnd"/>
      <w:r w:rsidRPr="00A51827">
        <w:rPr>
          <w:i/>
          <w:iCs/>
        </w:rPr>
        <w:t>.</w:t>
      </w:r>
    </w:p>
    <w:p w14:paraId="2D83F468" w14:textId="77777777" w:rsidR="00A51827" w:rsidRPr="00A51827" w:rsidRDefault="00A51827" w:rsidP="00A51827">
      <w:pPr>
        <w:ind w:firstLine="567"/>
      </w:pPr>
    </w:p>
    <w:p w14:paraId="3A441798" w14:textId="77777777" w:rsidR="00A51827" w:rsidRPr="00A51827" w:rsidRDefault="00A51827" w:rsidP="00A51827">
      <w:pPr>
        <w:ind w:firstLine="567"/>
        <w:jc w:val="both"/>
      </w:pPr>
      <w:r w:rsidRPr="00A51827">
        <w:t>Для оцінювання зв'язку між NRI та рівнем добробуту побудовано крос-секційну регресійну модель (МНК) на вибірці 127 країн NRI 2025:</w:t>
      </w:r>
    </w:p>
    <w:p w14:paraId="6AF943EB" w14:textId="37D66367" w:rsidR="00A51827" w:rsidRPr="00A51827" w:rsidRDefault="00A51827" w:rsidP="009C1B1B">
      <w:pPr>
        <w:ind w:firstLine="567"/>
        <w:jc w:val="center"/>
      </w:pPr>
      <w:proofErr w:type="spellStart"/>
      <w:r w:rsidRPr="00A51827">
        <w:rPr>
          <w:b/>
          <w:bCs/>
        </w:rPr>
        <w:t>ln</w:t>
      </w:r>
      <w:proofErr w:type="spellEnd"/>
      <w:r w:rsidRPr="00A51827">
        <w:rPr>
          <w:b/>
          <w:bCs/>
        </w:rPr>
        <w:t>(</w:t>
      </w:r>
      <w:proofErr w:type="spellStart"/>
      <w:r w:rsidRPr="00A51827">
        <w:rPr>
          <w:b/>
          <w:bCs/>
        </w:rPr>
        <w:t>GNI_cap_i</w:t>
      </w:r>
      <w:proofErr w:type="spellEnd"/>
      <w:r w:rsidRPr="00A51827">
        <w:rPr>
          <w:b/>
          <w:bCs/>
        </w:rPr>
        <w:t xml:space="preserve">) = 6,768 + 0,066 · </w:t>
      </w:r>
      <w:proofErr w:type="spellStart"/>
      <w:r w:rsidRPr="00A51827">
        <w:rPr>
          <w:b/>
          <w:bCs/>
        </w:rPr>
        <w:t>NRI_i</w:t>
      </w:r>
      <w:proofErr w:type="spellEnd"/>
      <w:r w:rsidRPr="00A51827">
        <w:rPr>
          <w:b/>
          <w:bCs/>
        </w:rPr>
        <w:t xml:space="preserve"> + εᵢ</w:t>
      </w:r>
    </w:p>
    <w:p w14:paraId="22B4F49E" w14:textId="131909D3" w:rsidR="009C1B1B" w:rsidRPr="00A51827" w:rsidRDefault="00921535" w:rsidP="009C1B1B">
      <w:pPr>
        <w:ind w:firstLine="567"/>
        <w:jc w:val="both"/>
      </w:pPr>
      <w:r>
        <w:t>Р</w:t>
      </w:r>
      <w:r w:rsidR="00A51827" w:rsidRPr="00A51827">
        <w:t>езультати оцінювання наведено в таблиці 2.</w:t>
      </w:r>
    </w:p>
    <w:p w14:paraId="7F0B9D30" w14:textId="77777777" w:rsidR="00A51827" w:rsidRPr="00A51827" w:rsidRDefault="00A51827" w:rsidP="00A51827">
      <w:pPr>
        <w:ind w:firstLine="567"/>
        <w:jc w:val="both"/>
      </w:pPr>
      <w:r w:rsidRPr="00A51827">
        <w:rPr>
          <w:b/>
          <w:bCs/>
        </w:rPr>
        <w:t>Таблиця 2.</w:t>
      </w:r>
      <w:r w:rsidRPr="00A51827">
        <w:t xml:space="preserve"> Результати МНК-оцінювання регресійної моделі (n = 127, 2025 р.)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50"/>
        <w:gridCol w:w="1214"/>
        <w:gridCol w:w="3472"/>
        <w:gridCol w:w="749"/>
        <w:gridCol w:w="888"/>
        <w:gridCol w:w="1199"/>
      </w:tblGrid>
      <w:tr w:rsidR="00A51827" w:rsidRPr="00A51827" w14:paraId="3FF58D6E" w14:textId="77777777" w:rsidTr="00921535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B9A34B8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Параметр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E56177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β</w:t>
            </w:r>
          </w:p>
        </w:tc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BD8FE5B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SE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EA2A0A8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t-</w:t>
            </w:r>
            <w:proofErr w:type="spellStart"/>
            <w:r w:rsidRPr="00A51827">
              <w:rPr>
                <w:b/>
                <w:bCs/>
              </w:rPr>
              <w:t>стат</w:t>
            </w:r>
            <w:proofErr w:type="spellEnd"/>
            <w:r w:rsidRPr="00A51827">
              <w:rPr>
                <w:b/>
                <w:bCs/>
              </w:rPr>
              <w:t>.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FFA1E53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p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96A596D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95 % ДІ</w:t>
            </w:r>
          </w:p>
        </w:tc>
      </w:tr>
      <w:tr w:rsidR="00A51827" w:rsidRPr="00A51827" w14:paraId="1C60FE1B" w14:textId="77777777" w:rsidTr="00921535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A3F7ED7" w14:textId="77777777" w:rsidR="00A51827" w:rsidRPr="00A51827" w:rsidRDefault="00A51827" w:rsidP="009C1B1B">
            <w:r w:rsidRPr="00A51827">
              <w:lastRenderedPageBreak/>
              <w:t>Константа (β₀)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0F1DBB2" w14:textId="77777777" w:rsidR="00A51827" w:rsidRPr="00A51827" w:rsidRDefault="00A51827" w:rsidP="009C1B1B">
            <w:pPr>
              <w:jc w:val="center"/>
            </w:pPr>
            <w:r w:rsidRPr="00A51827">
              <w:t>6,768</w:t>
            </w:r>
          </w:p>
        </w:tc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985EA1E" w14:textId="77777777" w:rsidR="00A51827" w:rsidRPr="00A51827" w:rsidRDefault="00A51827" w:rsidP="009C1B1B">
            <w:pPr>
              <w:jc w:val="center"/>
            </w:pPr>
            <w:r w:rsidRPr="00A51827">
              <w:t>0,172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173726C" w14:textId="77777777" w:rsidR="00A51827" w:rsidRPr="00A51827" w:rsidRDefault="00A51827" w:rsidP="009C1B1B">
            <w:pPr>
              <w:jc w:val="center"/>
            </w:pPr>
            <w:r w:rsidRPr="00A51827">
              <w:t>39,36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4F938EE" w14:textId="77777777" w:rsidR="00A51827" w:rsidRPr="00A51827" w:rsidRDefault="00A51827" w:rsidP="009C1B1B">
            <w:pPr>
              <w:jc w:val="center"/>
            </w:pPr>
            <w:r w:rsidRPr="00A51827">
              <w:t>&lt;0,001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809D5EF" w14:textId="77777777" w:rsidR="00A51827" w:rsidRPr="00A51827" w:rsidRDefault="00A51827" w:rsidP="009C1B1B">
            <w:pPr>
              <w:jc w:val="center"/>
            </w:pPr>
            <w:r w:rsidRPr="00A51827">
              <w:t>[6,43; 7,10]</w:t>
            </w:r>
          </w:p>
        </w:tc>
      </w:tr>
      <w:tr w:rsidR="00A51827" w:rsidRPr="00A51827" w14:paraId="79F7290C" w14:textId="77777777" w:rsidTr="00921535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00101D6" w14:textId="77777777" w:rsidR="00A51827" w:rsidRPr="00A51827" w:rsidRDefault="00A51827" w:rsidP="009C1B1B">
            <w:r w:rsidRPr="00A51827">
              <w:t xml:space="preserve">NRI </w:t>
            </w:r>
            <w:proofErr w:type="spellStart"/>
            <w:r w:rsidRPr="00A51827">
              <w:t>Score</w:t>
            </w:r>
            <w:proofErr w:type="spellEnd"/>
            <w:r w:rsidRPr="00A51827">
              <w:t xml:space="preserve"> (β₁)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51B05924" w14:textId="77777777" w:rsidR="00A51827" w:rsidRPr="00A51827" w:rsidRDefault="00A51827" w:rsidP="009C1B1B">
            <w:pPr>
              <w:jc w:val="center"/>
            </w:pPr>
            <w:r w:rsidRPr="00A51827">
              <w:t>0,066</w:t>
            </w:r>
          </w:p>
        </w:tc>
        <w:tc>
          <w:tcPr>
            <w:tcW w:w="347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589138" w14:textId="77777777" w:rsidR="00A51827" w:rsidRPr="00A51827" w:rsidRDefault="00A51827" w:rsidP="009C1B1B">
            <w:pPr>
              <w:jc w:val="center"/>
            </w:pPr>
            <w:r w:rsidRPr="00A51827">
              <w:t>0,003</w:t>
            </w:r>
          </w:p>
        </w:tc>
        <w:tc>
          <w:tcPr>
            <w:tcW w:w="74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1C7F4B2" w14:textId="77777777" w:rsidR="00A51827" w:rsidRPr="00A51827" w:rsidRDefault="00A51827" w:rsidP="009C1B1B">
            <w:pPr>
              <w:jc w:val="center"/>
            </w:pPr>
            <w:r w:rsidRPr="00A51827">
              <w:t>19,95</w:t>
            </w:r>
          </w:p>
        </w:tc>
        <w:tc>
          <w:tcPr>
            <w:tcW w:w="8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F034B79" w14:textId="77777777" w:rsidR="00A51827" w:rsidRPr="00A51827" w:rsidRDefault="00A51827" w:rsidP="009C1B1B">
            <w:pPr>
              <w:jc w:val="center"/>
            </w:pPr>
            <w:r w:rsidRPr="00A51827">
              <w:t>&lt;0,001</w:t>
            </w:r>
          </w:p>
        </w:tc>
        <w:tc>
          <w:tcPr>
            <w:tcW w:w="11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C732FA2" w14:textId="77777777" w:rsidR="00A51827" w:rsidRPr="00A51827" w:rsidRDefault="00A51827" w:rsidP="009C1B1B">
            <w:pPr>
              <w:jc w:val="center"/>
            </w:pPr>
            <w:r w:rsidRPr="00A51827">
              <w:t>[0,059; 0,072]</w:t>
            </w:r>
          </w:p>
        </w:tc>
      </w:tr>
      <w:tr w:rsidR="00A51827" w:rsidRPr="00A51827" w14:paraId="625A42F4" w14:textId="77777777" w:rsidTr="00921535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9EEB157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Показник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7516135F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Значення</w:t>
            </w:r>
          </w:p>
        </w:tc>
        <w:tc>
          <w:tcPr>
            <w:tcW w:w="6308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  <w:right w:val="single" w:sz="1" w:space="0" w:color="000000"/>
            </w:tcBorders>
            <w:shd w:val="clear" w:color="auto" w:fill="D9D9D9"/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AF20943" w14:textId="77777777" w:rsidR="00A51827" w:rsidRPr="00A51827" w:rsidRDefault="00A51827" w:rsidP="009C1B1B">
            <w:pPr>
              <w:jc w:val="center"/>
            </w:pPr>
            <w:r w:rsidRPr="00A51827">
              <w:rPr>
                <w:b/>
                <w:bCs/>
              </w:rPr>
              <w:t>Коментар</w:t>
            </w:r>
          </w:p>
        </w:tc>
      </w:tr>
      <w:tr w:rsidR="00921535" w:rsidRPr="00A51827" w14:paraId="2AAF2677" w14:textId="715DEFA6" w:rsidTr="00EC6608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C76EF8" w14:textId="77777777" w:rsidR="00921535" w:rsidRPr="00A51827" w:rsidRDefault="00921535" w:rsidP="009C1B1B">
            <w:pPr>
              <w:jc w:val="center"/>
            </w:pPr>
            <w:r w:rsidRPr="00A51827">
              <w:rPr>
                <w:b/>
                <w:bCs/>
              </w:rPr>
              <w:t>R²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CF9023F" w14:textId="77777777" w:rsidR="00921535" w:rsidRPr="00A51827" w:rsidRDefault="00921535" w:rsidP="009C1B1B">
            <w:pPr>
              <w:jc w:val="center"/>
            </w:pPr>
            <w:r w:rsidRPr="00A51827">
              <w:t>0,761</w:t>
            </w:r>
          </w:p>
        </w:tc>
        <w:tc>
          <w:tcPr>
            <w:tcW w:w="6308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BBFAC2A" w14:textId="1E96680C" w:rsidR="00921535" w:rsidRPr="00A51827" w:rsidRDefault="00921535" w:rsidP="009C1B1B">
            <w:r w:rsidRPr="00A51827">
              <w:t xml:space="preserve">Модель пояснює 76,1 % дисперсії </w:t>
            </w:r>
            <w:proofErr w:type="spellStart"/>
            <w:r w:rsidRPr="00A51827">
              <w:t>ln</w:t>
            </w:r>
            <w:proofErr w:type="spellEnd"/>
            <w:r w:rsidRPr="00A51827">
              <w:t>(ВНД)</w:t>
            </w:r>
          </w:p>
        </w:tc>
      </w:tr>
      <w:tr w:rsidR="00921535" w:rsidRPr="00A51827" w14:paraId="4D00C919" w14:textId="433CA0A6" w:rsidTr="00856865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C637BA6" w14:textId="77777777" w:rsidR="00921535" w:rsidRPr="00A51827" w:rsidRDefault="00921535" w:rsidP="009C1B1B">
            <w:pPr>
              <w:jc w:val="center"/>
            </w:pPr>
            <w:r w:rsidRPr="00A51827">
              <w:rPr>
                <w:b/>
                <w:bCs/>
              </w:rPr>
              <w:t xml:space="preserve">R² </w:t>
            </w:r>
            <w:proofErr w:type="spellStart"/>
            <w:r w:rsidRPr="00A51827">
              <w:rPr>
                <w:b/>
                <w:bCs/>
              </w:rPr>
              <w:t>adj</w:t>
            </w:r>
            <w:proofErr w:type="spellEnd"/>
            <w:r w:rsidRPr="00A51827">
              <w:rPr>
                <w:b/>
                <w:bCs/>
              </w:rPr>
              <w:t>.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F8B4FAB" w14:textId="77777777" w:rsidR="00921535" w:rsidRPr="00A51827" w:rsidRDefault="00921535" w:rsidP="009C1B1B">
            <w:pPr>
              <w:jc w:val="center"/>
            </w:pPr>
            <w:r w:rsidRPr="00A51827">
              <w:t>0,757</w:t>
            </w:r>
          </w:p>
        </w:tc>
        <w:tc>
          <w:tcPr>
            <w:tcW w:w="6308" w:type="dxa"/>
            <w:gridSpan w:val="4"/>
            <w:tcBorders>
              <w:top w:val="single" w:sz="1" w:space="0" w:color="000000"/>
              <w:left w:val="single" w:sz="1" w:space="0" w:color="000000"/>
              <w:bottom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7EBCE89" w14:textId="46806384" w:rsidR="00921535" w:rsidRPr="00A51827" w:rsidRDefault="00921535" w:rsidP="009C1B1B">
            <w:r w:rsidRPr="00A51827">
              <w:t xml:space="preserve">Стійкість за кількістю </w:t>
            </w:r>
            <w:proofErr w:type="spellStart"/>
            <w:r w:rsidRPr="00A51827">
              <w:t>регресорів</w:t>
            </w:r>
            <w:proofErr w:type="spellEnd"/>
          </w:p>
        </w:tc>
      </w:tr>
      <w:tr w:rsidR="00921535" w:rsidRPr="00A51827" w14:paraId="3A882858" w14:textId="7C5F0328" w:rsidTr="006A7FA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322FAC62" w14:textId="77777777" w:rsidR="00921535" w:rsidRPr="00A51827" w:rsidRDefault="00921535" w:rsidP="009C1B1B">
            <w:pPr>
              <w:jc w:val="center"/>
            </w:pPr>
            <w:r w:rsidRPr="00A51827">
              <w:rPr>
                <w:b/>
                <w:bCs/>
              </w:rPr>
              <w:t>F (1; 125)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9F4FF72" w14:textId="77777777" w:rsidR="00921535" w:rsidRPr="00A51827" w:rsidRDefault="00921535" w:rsidP="009C1B1B">
            <w:pPr>
              <w:jc w:val="center"/>
            </w:pPr>
            <w:r w:rsidRPr="00A51827">
              <w:t>397,9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40907DF" w14:textId="12A47B2A" w:rsidR="00921535" w:rsidRPr="00A51827" w:rsidRDefault="00921535" w:rsidP="009C1B1B">
            <w:r w:rsidRPr="00A51827">
              <w:t>p &lt; 0,001 — модель загалом значуща</w:t>
            </w:r>
          </w:p>
        </w:tc>
      </w:tr>
      <w:tr w:rsidR="00921535" w:rsidRPr="00A51827" w14:paraId="05B1A421" w14:textId="497FD70B" w:rsidTr="00787C5E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14808EAA" w14:textId="77777777" w:rsidR="00921535" w:rsidRPr="00A51827" w:rsidRDefault="00921535" w:rsidP="009C1B1B">
            <w:pPr>
              <w:jc w:val="center"/>
            </w:pPr>
            <w:r w:rsidRPr="00A51827">
              <w:rPr>
                <w:b/>
                <w:bCs/>
              </w:rPr>
              <w:t>RMSE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22EDC94E" w14:textId="77777777" w:rsidR="00921535" w:rsidRPr="00A51827" w:rsidRDefault="00921535" w:rsidP="009C1B1B">
            <w:pPr>
              <w:jc w:val="center"/>
            </w:pPr>
            <w:r w:rsidRPr="00A51827">
              <w:t>0,527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1" w:space="0" w:color="000000"/>
              <w:bottom w:val="single" w:sz="4" w:space="0" w:color="auto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4869A374" w14:textId="725E1ED2" w:rsidR="00921535" w:rsidRPr="00A51827" w:rsidRDefault="00921535" w:rsidP="009C1B1B">
            <w:r w:rsidRPr="00A51827">
              <w:t>Середньоквадратична похибка (</w:t>
            </w:r>
            <w:proofErr w:type="spellStart"/>
            <w:r w:rsidRPr="00A51827">
              <w:t>лог</w:t>
            </w:r>
            <w:proofErr w:type="spellEnd"/>
            <w:r w:rsidRPr="00A51827">
              <w:t>. масштаб)</w:t>
            </w:r>
          </w:p>
        </w:tc>
      </w:tr>
      <w:tr w:rsidR="00921535" w:rsidRPr="00A51827" w14:paraId="7368A59D" w14:textId="17B0668B" w:rsidTr="00CB0D4D">
        <w:tblPrEx>
          <w:tblCellMar>
            <w:top w:w="0" w:type="dxa"/>
            <w:bottom w:w="0" w:type="dxa"/>
          </w:tblCellMar>
        </w:tblPrEx>
        <w:tc>
          <w:tcPr>
            <w:tcW w:w="155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AF24C33" w14:textId="77777777" w:rsidR="00921535" w:rsidRPr="00A51827" w:rsidRDefault="00921535" w:rsidP="009C1B1B">
            <w:pPr>
              <w:jc w:val="center"/>
            </w:pPr>
            <w:r w:rsidRPr="00A51827">
              <w:rPr>
                <w:b/>
                <w:bCs/>
              </w:rPr>
              <w:t>DW</w:t>
            </w:r>
          </w:p>
        </w:tc>
        <w:tc>
          <w:tcPr>
            <w:tcW w:w="1214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0C61FB93" w14:textId="77777777" w:rsidR="00921535" w:rsidRPr="00A51827" w:rsidRDefault="00921535" w:rsidP="009C1B1B">
            <w:pPr>
              <w:jc w:val="center"/>
            </w:pPr>
            <w:r w:rsidRPr="00A51827">
              <w:t>1,987</w:t>
            </w:r>
          </w:p>
        </w:tc>
        <w:tc>
          <w:tcPr>
            <w:tcW w:w="6308" w:type="dxa"/>
            <w:gridSpan w:val="4"/>
            <w:tcBorders>
              <w:top w:val="single" w:sz="4" w:space="0" w:color="auto"/>
              <w:left w:val="single" w:sz="1" w:space="0" w:color="000000"/>
              <w:bottom w:val="single" w:sz="1" w:space="0" w:color="000000"/>
            </w:tcBorders>
            <w:tcMar>
              <w:top w:w="40" w:type="dxa"/>
              <w:left w:w="80" w:type="dxa"/>
              <w:bottom w:w="40" w:type="dxa"/>
              <w:right w:w="80" w:type="dxa"/>
            </w:tcMar>
          </w:tcPr>
          <w:p w14:paraId="655AAE52" w14:textId="7F00AEC6" w:rsidR="00921535" w:rsidRPr="00A51827" w:rsidRDefault="00921535" w:rsidP="009C1B1B">
            <w:r w:rsidRPr="00A51827">
              <w:t>Автокореляція відсутня (1,5–2,5)</w:t>
            </w:r>
          </w:p>
        </w:tc>
      </w:tr>
    </w:tbl>
    <w:p w14:paraId="10A66C1A" w14:textId="4D99D0B4" w:rsidR="00A51827" w:rsidRPr="00A51827" w:rsidRDefault="00A51827" w:rsidP="00A51827">
      <w:pPr>
        <w:ind w:firstLine="567"/>
        <w:jc w:val="both"/>
      </w:pPr>
      <w:r w:rsidRPr="00A51827">
        <w:rPr>
          <w:i/>
          <w:iCs/>
        </w:rPr>
        <w:t xml:space="preserve">Джерело: NRI 2025 </w:t>
      </w:r>
      <w:proofErr w:type="spellStart"/>
      <w:r w:rsidRPr="00A51827">
        <w:rPr>
          <w:i/>
          <w:iCs/>
        </w:rPr>
        <w:t>Dataset</w:t>
      </w:r>
      <w:proofErr w:type="spellEnd"/>
      <w:r w:rsidRPr="00A51827">
        <w:rPr>
          <w:i/>
          <w:iCs/>
        </w:rPr>
        <w:t xml:space="preserve"> (</w:t>
      </w:r>
      <w:proofErr w:type="spellStart"/>
      <w:r w:rsidRPr="00A51827">
        <w:rPr>
          <w:i/>
          <w:iCs/>
        </w:rPr>
        <w:t>Portulans</w:t>
      </w:r>
      <w:proofErr w:type="spellEnd"/>
      <w:r w:rsidRPr="00A51827">
        <w:rPr>
          <w:i/>
          <w:iCs/>
        </w:rPr>
        <w:t xml:space="preserve"> </w:t>
      </w:r>
      <w:proofErr w:type="spellStart"/>
      <w:r w:rsidRPr="00A51827">
        <w:rPr>
          <w:i/>
          <w:iCs/>
        </w:rPr>
        <w:t>Institute</w:t>
      </w:r>
      <w:proofErr w:type="spellEnd"/>
      <w:r w:rsidRPr="00A51827">
        <w:rPr>
          <w:i/>
          <w:iCs/>
        </w:rPr>
        <w:t>, 2025); розрахунки автор</w:t>
      </w:r>
      <w:r w:rsidR="00921535">
        <w:rPr>
          <w:i/>
          <w:iCs/>
        </w:rPr>
        <w:t>ів</w:t>
      </w:r>
      <w:r w:rsidRPr="00A51827">
        <w:rPr>
          <w:i/>
          <w:iCs/>
        </w:rPr>
        <w:t xml:space="preserve"> (</w:t>
      </w:r>
      <w:proofErr w:type="spellStart"/>
      <w:r w:rsidRPr="00A51827">
        <w:rPr>
          <w:i/>
          <w:iCs/>
        </w:rPr>
        <w:t>Python</w:t>
      </w:r>
      <w:proofErr w:type="spellEnd"/>
      <w:r w:rsidRPr="00A51827">
        <w:rPr>
          <w:i/>
          <w:iCs/>
        </w:rPr>
        <w:t>/</w:t>
      </w:r>
      <w:proofErr w:type="spellStart"/>
      <w:r w:rsidRPr="00A51827">
        <w:rPr>
          <w:i/>
          <w:iCs/>
        </w:rPr>
        <w:t>NumPy</w:t>
      </w:r>
      <w:proofErr w:type="spellEnd"/>
      <w:r w:rsidRPr="00A51827">
        <w:rPr>
          <w:i/>
          <w:iCs/>
        </w:rPr>
        <w:t>).</w:t>
      </w:r>
    </w:p>
    <w:p w14:paraId="5B8DE2DB" w14:textId="77777777" w:rsidR="00A51827" w:rsidRPr="00A51827" w:rsidRDefault="00A51827" w:rsidP="00A51827">
      <w:pPr>
        <w:ind w:firstLine="567"/>
      </w:pPr>
    </w:p>
    <w:p w14:paraId="059FE5D7" w14:textId="0E2260E2" w:rsidR="00A51827" w:rsidRPr="00A51827" w:rsidRDefault="00A51827" w:rsidP="00921535">
      <w:pPr>
        <w:ind w:firstLine="567"/>
        <w:jc w:val="both"/>
      </w:pPr>
      <w:r w:rsidRPr="00A51827">
        <w:t xml:space="preserve">Коефіцієнт β₁ = 0,066 означає, що зростання NRI на 1 бал асоціюється зі збільшенням ВНД на особу приблизно на 6,6 %. Прогнозне значення ВНД для України (NRI = 54,30) становить близько 31 100 USD, тоді як фактичне — 20 904 USD. Від'ємний залишок регресії (–0,40 у логарифмічному масштабі) означає, що фактичний добробут є нижчим від прогнозованого на ~49 %. Цей розрив є кількісним виразом «цифрового надлишку» — ситуації, коли країна нагромадила цифровий потенціал (46-те місце за NRI), але не конвертувала його у відповідне зростання добробуту через руйнування продуктивних </w:t>
      </w:r>
      <w:proofErr w:type="spellStart"/>
      <w:r w:rsidRPr="00A51827">
        <w:t>потужностей</w:t>
      </w:r>
      <w:proofErr w:type="spellEnd"/>
      <w:r w:rsidRPr="00A51827">
        <w:t xml:space="preserve"> у ході збройного конфлікту та структурні деформації економіки.</w:t>
      </w:r>
    </w:p>
    <w:p w14:paraId="742971DF" w14:textId="77777777" w:rsidR="00A51827" w:rsidRPr="00A51827" w:rsidRDefault="00A51827" w:rsidP="00921535">
      <w:pPr>
        <w:jc w:val="both"/>
      </w:pPr>
      <w:r w:rsidRPr="00A51827">
        <w:rPr>
          <w:noProof/>
        </w:rPr>
        <w:drawing>
          <wp:inline distT="0" distB="0" distL="0" distR="0" wp14:anchorId="68F1F4A1" wp14:editId="33B99547">
            <wp:extent cx="5775325" cy="329946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>
                      <a:picLocks noChangeAspect="1" noChangeArrowheads="1"/>
                    </pic:cNvPicPr>
                  </pic:nvPicPr>
                  <pic:blipFill rotWithShape="1">
                    <a:blip r:embed="rId4"/>
                    <a:srcRect t="67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82154" cy="3303361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214628A" w14:textId="71A0811C" w:rsidR="00921535" w:rsidRPr="00921535" w:rsidRDefault="00921535" w:rsidP="00921535">
      <w:pPr>
        <w:ind w:firstLine="567"/>
        <w:jc w:val="both"/>
      </w:pPr>
      <w:r w:rsidRPr="00A51827">
        <w:rPr>
          <w:b/>
          <w:bCs/>
        </w:rPr>
        <w:t>Рис. 1.</w:t>
      </w:r>
      <w:r w:rsidRPr="00A51827">
        <w:t xml:space="preserve"> Залежність ВНД на особу від індексу мережевої готовності (крос-секційний аналіз, 127 країн, NRI 2025)</w:t>
      </w:r>
    </w:p>
    <w:p w14:paraId="750269FA" w14:textId="57EB89DA" w:rsidR="00A51827" w:rsidRPr="00A51827" w:rsidRDefault="00A51827" w:rsidP="00A51827">
      <w:pPr>
        <w:ind w:firstLine="567"/>
        <w:jc w:val="both"/>
      </w:pPr>
      <w:r w:rsidRPr="00A51827">
        <w:rPr>
          <w:i/>
          <w:iCs/>
        </w:rPr>
        <w:t xml:space="preserve">Джерело: NRI 2025 </w:t>
      </w:r>
      <w:proofErr w:type="spellStart"/>
      <w:r w:rsidRPr="00A51827">
        <w:rPr>
          <w:i/>
          <w:iCs/>
        </w:rPr>
        <w:t>Dataset</w:t>
      </w:r>
      <w:proofErr w:type="spellEnd"/>
      <w:r w:rsidRPr="00A51827">
        <w:rPr>
          <w:i/>
          <w:iCs/>
        </w:rPr>
        <w:t xml:space="preserve"> (</w:t>
      </w:r>
      <w:proofErr w:type="spellStart"/>
      <w:r w:rsidRPr="00A51827">
        <w:rPr>
          <w:i/>
          <w:iCs/>
        </w:rPr>
        <w:t>Portulans</w:t>
      </w:r>
      <w:proofErr w:type="spellEnd"/>
      <w:r w:rsidRPr="00A51827">
        <w:rPr>
          <w:i/>
          <w:iCs/>
        </w:rPr>
        <w:t xml:space="preserve"> </w:t>
      </w:r>
      <w:proofErr w:type="spellStart"/>
      <w:r w:rsidRPr="00A51827">
        <w:rPr>
          <w:i/>
          <w:iCs/>
        </w:rPr>
        <w:t>Institute</w:t>
      </w:r>
      <w:proofErr w:type="spellEnd"/>
      <w:r w:rsidRPr="00A51827">
        <w:rPr>
          <w:i/>
          <w:iCs/>
        </w:rPr>
        <w:t>, 2025); розрахунки автора.</w:t>
      </w:r>
    </w:p>
    <w:p w14:paraId="78A8804C" w14:textId="77777777" w:rsidR="00A51827" w:rsidRPr="00A51827" w:rsidRDefault="00A51827" w:rsidP="00A51827">
      <w:pPr>
        <w:ind w:firstLine="567"/>
      </w:pPr>
    </w:p>
    <w:p w14:paraId="734ED3C6" w14:textId="77777777" w:rsidR="00A51827" w:rsidRPr="00A51827" w:rsidRDefault="00A51827" w:rsidP="00A51827">
      <w:pPr>
        <w:ind w:firstLine="567"/>
        <w:jc w:val="both"/>
      </w:pPr>
      <w:r w:rsidRPr="00A51827">
        <w:t xml:space="preserve">Таким чином, індекс мережевої готовності є статистично значущим детермінантом рівня добробуту: модель пояснює 76,1 % </w:t>
      </w:r>
      <w:proofErr w:type="spellStart"/>
      <w:r w:rsidRPr="00A51827">
        <w:t>міжкраїнової</w:t>
      </w:r>
      <w:proofErr w:type="spellEnd"/>
      <w:r w:rsidRPr="00A51827">
        <w:t xml:space="preserve"> варіації ВНД. Україна (46-те місце, NRI 54,30) значно перевищує прогнозний рівень добробуту за своїм цифровим </w:t>
      </w:r>
      <w:r w:rsidRPr="00A51827">
        <w:lastRenderedPageBreak/>
        <w:t xml:space="preserve">потенціалом, що відображає «цифровий надлишок» воєнного часу. Усунення цього розриву потребує відновлення ІКТ-інфраструктури, підтримки IT-сектору та прискорення цифрового регулювання в рамках євроінтеграції — напрямів, що підкріплені позитивною динамікою </w:t>
      </w:r>
      <w:proofErr w:type="spellStart"/>
      <w:r w:rsidRPr="00A51827">
        <w:t>субіндексу</w:t>
      </w:r>
      <w:proofErr w:type="spellEnd"/>
      <w:r w:rsidRPr="00A51827">
        <w:t xml:space="preserve"> </w:t>
      </w:r>
      <w:proofErr w:type="spellStart"/>
      <w:r w:rsidRPr="00A51827">
        <w:t>Governance</w:t>
      </w:r>
      <w:proofErr w:type="spellEnd"/>
      <w:r w:rsidRPr="00A51827">
        <w:t xml:space="preserve"> (+11,4 б. за 2019–2025 рр.).</w:t>
      </w:r>
    </w:p>
    <w:p w14:paraId="321F4FFC" w14:textId="77777777" w:rsidR="00A51827" w:rsidRPr="00A51827" w:rsidRDefault="00A51827" w:rsidP="00A51827">
      <w:pPr>
        <w:ind w:firstLine="567"/>
      </w:pPr>
    </w:p>
    <w:p w14:paraId="764C5687" w14:textId="362D3CFE" w:rsidR="00A51827" w:rsidRPr="00A51827" w:rsidRDefault="00921535" w:rsidP="00921535">
      <w:pPr>
        <w:ind w:firstLine="567"/>
        <w:jc w:val="center"/>
      </w:pPr>
      <w:r w:rsidRPr="00A51827">
        <w:rPr>
          <w:b/>
          <w:bCs/>
        </w:rPr>
        <w:t>СПИСОК ВИКОРИСТАНИХ ДЖЕРЕЛ</w:t>
      </w:r>
    </w:p>
    <w:p w14:paraId="69A06D08" w14:textId="77777777" w:rsidR="00A51827" w:rsidRPr="00A51827" w:rsidRDefault="00A51827" w:rsidP="00A51827">
      <w:pPr>
        <w:ind w:firstLine="567"/>
        <w:jc w:val="both"/>
      </w:pPr>
      <w:r w:rsidRPr="00A51827">
        <w:t xml:space="preserve">1. </w:t>
      </w:r>
      <w:proofErr w:type="spellStart"/>
      <w:r w:rsidRPr="00A51827">
        <w:t>Portulans</w:t>
      </w:r>
      <w:proofErr w:type="spellEnd"/>
      <w:r w:rsidRPr="00A51827">
        <w:t xml:space="preserve"> </w:t>
      </w:r>
      <w:proofErr w:type="spellStart"/>
      <w:r w:rsidRPr="00A51827">
        <w:t>Institute</w:t>
      </w:r>
      <w:proofErr w:type="spellEnd"/>
      <w:r w:rsidRPr="00A51827">
        <w:t xml:space="preserve">. </w:t>
      </w:r>
      <w:proofErr w:type="spellStart"/>
      <w:r w:rsidRPr="00A51827">
        <w:t>Network</w:t>
      </w:r>
      <w:proofErr w:type="spellEnd"/>
      <w:r w:rsidRPr="00A51827">
        <w:t xml:space="preserve"> </w:t>
      </w:r>
      <w:proofErr w:type="spellStart"/>
      <w:r w:rsidRPr="00A51827">
        <w:t>Readiness</w:t>
      </w:r>
      <w:proofErr w:type="spellEnd"/>
      <w:r w:rsidRPr="00A51827">
        <w:t xml:space="preserve"> </w:t>
      </w:r>
      <w:proofErr w:type="spellStart"/>
      <w:r w:rsidRPr="00A51827">
        <w:t>Index</w:t>
      </w:r>
      <w:proofErr w:type="spellEnd"/>
      <w:r w:rsidRPr="00A51827">
        <w:t xml:space="preserve"> 2025. </w:t>
      </w:r>
      <w:proofErr w:type="spellStart"/>
      <w:r w:rsidRPr="00A51827">
        <w:t>Washington</w:t>
      </w:r>
      <w:proofErr w:type="spellEnd"/>
      <w:r w:rsidRPr="00A51827">
        <w:t>, D.C., 2025. URL: https://networkreadinessindex.org.</w:t>
      </w:r>
    </w:p>
    <w:p w14:paraId="4A83ACA3" w14:textId="77777777" w:rsidR="00A51827" w:rsidRPr="00A51827" w:rsidRDefault="00A51827" w:rsidP="00A51827">
      <w:pPr>
        <w:ind w:firstLine="567"/>
        <w:jc w:val="both"/>
      </w:pPr>
      <w:r w:rsidRPr="00A51827">
        <w:t xml:space="preserve">2. </w:t>
      </w:r>
      <w:proofErr w:type="spellStart"/>
      <w:r w:rsidRPr="00A51827">
        <w:t>Portulans</w:t>
      </w:r>
      <w:proofErr w:type="spellEnd"/>
      <w:r w:rsidRPr="00A51827">
        <w:t xml:space="preserve"> </w:t>
      </w:r>
      <w:proofErr w:type="spellStart"/>
      <w:r w:rsidRPr="00A51827">
        <w:t>Institute</w:t>
      </w:r>
      <w:proofErr w:type="spellEnd"/>
      <w:r w:rsidRPr="00A51827">
        <w:t xml:space="preserve">. NRI </w:t>
      </w:r>
      <w:proofErr w:type="spellStart"/>
      <w:r w:rsidRPr="00A51827">
        <w:t>Reports</w:t>
      </w:r>
      <w:proofErr w:type="spellEnd"/>
      <w:r w:rsidRPr="00A51827">
        <w:t xml:space="preserve"> &amp; </w:t>
      </w:r>
      <w:proofErr w:type="spellStart"/>
      <w:r w:rsidRPr="00A51827">
        <w:t>Datasets</w:t>
      </w:r>
      <w:proofErr w:type="spellEnd"/>
      <w:r w:rsidRPr="00A51827">
        <w:t xml:space="preserve"> 2019–2024. URL: https://networkreadinessindex.org.</w:t>
      </w:r>
    </w:p>
    <w:p w14:paraId="3882D629" w14:textId="77777777" w:rsidR="00A51827" w:rsidRPr="00A51827" w:rsidRDefault="00A51827" w:rsidP="00A51827">
      <w:pPr>
        <w:ind w:firstLine="567"/>
        <w:jc w:val="both"/>
      </w:pPr>
      <w:r w:rsidRPr="00A51827">
        <w:t xml:space="preserve">3. </w:t>
      </w:r>
      <w:proofErr w:type="spellStart"/>
      <w:r w:rsidRPr="00A51827">
        <w:t>World</w:t>
      </w:r>
      <w:proofErr w:type="spellEnd"/>
      <w:r w:rsidRPr="00A51827">
        <w:t xml:space="preserve"> </w:t>
      </w:r>
      <w:proofErr w:type="spellStart"/>
      <w:r w:rsidRPr="00A51827">
        <w:t>Bank</w:t>
      </w:r>
      <w:proofErr w:type="spellEnd"/>
      <w:r w:rsidRPr="00A51827">
        <w:t xml:space="preserve">. </w:t>
      </w:r>
      <w:proofErr w:type="spellStart"/>
      <w:r w:rsidRPr="00A51827">
        <w:t>World</w:t>
      </w:r>
      <w:proofErr w:type="spellEnd"/>
      <w:r w:rsidRPr="00A51827">
        <w:t xml:space="preserve"> </w:t>
      </w:r>
      <w:proofErr w:type="spellStart"/>
      <w:r w:rsidRPr="00A51827">
        <w:t>Development</w:t>
      </w:r>
      <w:proofErr w:type="spellEnd"/>
      <w:r w:rsidRPr="00A51827">
        <w:t xml:space="preserve"> </w:t>
      </w:r>
      <w:proofErr w:type="spellStart"/>
      <w:r w:rsidRPr="00A51827">
        <w:t>Indicators</w:t>
      </w:r>
      <w:proofErr w:type="spellEnd"/>
      <w:r w:rsidRPr="00A51827">
        <w:t xml:space="preserve">: GNI </w:t>
      </w:r>
      <w:proofErr w:type="spellStart"/>
      <w:r w:rsidRPr="00A51827">
        <w:t>per</w:t>
      </w:r>
      <w:proofErr w:type="spellEnd"/>
      <w:r w:rsidRPr="00A51827">
        <w:t xml:space="preserve"> </w:t>
      </w:r>
      <w:proofErr w:type="spellStart"/>
      <w:r w:rsidRPr="00A51827">
        <w:t>capita</w:t>
      </w:r>
      <w:proofErr w:type="spellEnd"/>
      <w:r w:rsidRPr="00A51827">
        <w:t xml:space="preserve">, </w:t>
      </w:r>
      <w:proofErr w:type="spellStart"/>
      <w:r w:rsidRPr="00A51827">
        <w:t>Atlas</w:t>
      </w:r>
      <w:proofErr w:type="spellEnd"/>
      <w:r w:rsidRPr="00A51827">
        <w:t xml:space="preserve"> </w:t>
      </w:r>
      <w:proofErr w:type="spellStart"/>
      <w:r w:rsidRPr="00A51827">
        <w:t>method</w:t>
      </w:r>
      <w:proofErr w:type="spellEnd"/>
      <w:r w:rsidRPr="00A51827">
        <w:t>. URL: https://data.worldbank.org.</w:t>
      </w:r>
    </w:p>
    <w:p w14:paraId="641682FC" w14:textId="6C09322A" w:rsidR="00A51827" w:rsidRPr="00A51827" w:rsidRDefault="00A51827" w:rsidP="009C1B1B">
      <w:pPr>
        <w:ind w:firstLine="567"/>
        <w:jc w:val="both"/>
      </w:pPr>
      <w:r w:rsidRPr="00A51827">
        <w:t xml:space="preserve">4. </w:t>
      </w:r>
      <w:proofErr w:type="spellStart"/>
      <w:r w:rsidRPr="00A51827">
        <w:t>Brynjolfsson</w:t>
      </w:r>
      <w:proofErr w:type="spellEnd"/>
      <w:r w:rsidRPr="00A51827">
        <w:t xml:space="preserve"> E., </w:t>
      </w:r>
      <w:proofErr w:type="spellStart"/>
      <w:r w:rsidRPr="00A51827">
        <w:t>McAfee</w:t>
      </w:r>
      <w:proofErr w:type="spellEnd"/>
      <w:r w:rsidRPr="00A51827">
        <w:t xml:space="preserve"> A. </w:t>
      </w:r>
      <w:proofErr w:type="spellStart"/>
      <w:r w:rsidRPr="00A51827">
        <w:t>The</w:t>
      </w:r>
      <w:proofErr w:type="spellEnd"/>
      <w:r w:rsidRPr="00A51827">
        <w:t xml:space="preserve"> </w:t>
      </w:r>
      <w:proofErr w:type="spellStart"/>
      <w:r w:rsidRPr="00A51827">
        <w:t>Second</w:t>
      </w:r>
      <w:proofErr w:type="spellEnd"/>
      <w:r w:rsidRPr="00A51827">
        <w:t xml:space="preserve"> </w:t>
      </w:r>
      <w:proofErr w:type="spellStart"/>
      <w:r w:rsidRPr="00A51827">
        <w:t>Machine</w:t>
      </w:r>
      <w:proofErr w:type="spellEnd"/>
      <w:r w:rsidRPr="00A51827">
        <w:t xml:space="preserve"> </w:t>
      </w:r>
      <w:proofErr w:type="spellStart"/>
      <w:r w:rsidRPr="00A51827">
        <w:t>Age</w:t>
      </w:r>
      <w:proofErr w:type="spellEnd"/>
      <w:r w:rsidRPr="00A51827">
        <w:t xml:space="preserve">. W.W. </w:t>
      </w:r>
      <w:proofErr w:type="spellStart"/>
      <w:r w:rsidRPr="00A51827">
        <w:t>Norton</w:t>
      </w:r>
      <w:proofErr w:type="spellEnd"/>
      <w:r w:rsidRPr="00A51827">
        <w:t>, 2014. 320 p.</w:t>
      </w:r>
    </w:p>
    <w:p w14:paraId="4EABDE94" w14:textId="0089AB67" w:rsidR="00A51827" w:rsidRPr="00A51827" w:rsidRDefault="00A51827" w:rsidP="00A51827">
      <w:pPr>
        <w:ind w:firstLine="567"/>
      </w:pPr>
    </w:p>
    <w:sectPr w:rsidR="00A51827" w:rsidRPr="00A51827" w:rsidSect="00A51827">
      <w:pgSz w:w="11906" w:h="16838"/>
      <w:pgMar w:top="1418" w:right="1418" w:bottom="1418" w:left="1418" w:header="709" w:footer="709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1827"/>
    <w:rsid w:val="00791245"/>
    <w:rsid w:val="00921535"/>
    <w:rsid w:val="009C1B1B"/>
    <w:rsid w:val="00A51827"/>
    <w:rsid w:val="00E05300"/>
    <w:rsid w:val="00E40F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23D0CA"/>
  <w15:chartTrackingRefBased/>
  <w15:docId w15:val="{EAD54F2A-8D62-4568-A7B3-4B877AAB9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5182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uk-UA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A518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518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51827"/>
    <w:pPr>
      <w:keepNext/>
      <w:keepLines/>
      <w:spacing w:before="160" w:after="80" w:line="259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51827"/>
    <w:pPr>
      <w:keepNext/>
      <w:keepLines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51827"/>
    <w:pPr>
      <w:keepNext/>
      <w:keepLines/>
      <w:spacing w:before="80" w:after="40" w:line="259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51827"/>
    <w:pPr>
      <w:keepNext/>
      <w:keepLines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51827"/>
    <w:pPr>
      <w:keepNext/>
      <w:keepLines/>
      <w:spacing w:before="40" w:line="259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2"/>
      <w:szCs w:val="22"/>
      <w:lang w:eastAsia="en-US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51827"/>
    <w:pPr>
      <w:keepNext/>
      <w:keepLines/>
      <w:spacing w:line="259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51827"/>
    <w:pPr>
      <w:keepNext/>
      <w:keepLines/>
      <w:spacing w:line="259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2"/>
      <w:szCs w:val="22"/>
      <w:lang w:eastAsia="en-US"/>
      <w14:ligatures w14:val="standardContextual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518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A518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A518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A51827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A51827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A5182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A5182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A5182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A5182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A5182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a4">
    <w:name w:val="Назва Знак"/>
    <w:basedOn w:val="a0"/>
    <w:link w:val="a3"/>
    <w:uiPriority w:val="10"/>
    <w:rsid w:val="00A518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51827"/>
    <w:pPr>
      <w:numPr>
        <w:ilvl w:val="1"/>
      </w:numPr>
      <w:spacing w:after="160" w:line="259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a6">
    <w:name w:val="Підзаголовок Знак"/>
    <w:basedOn w:val="a0"/>
    <w:link w:val="a5"/>
    <w:uiPriority w:val="11"/>
    <w:rsid w:val="00A518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51827"/>
    <w:pPr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2"/>
      <w:szCs w:val="22"/>
      <w:lang w:eastAsia="en-US"/>
      <w14:ligatures w14:val="standardContextual"/>
    </w:rPr>
  </w:style>
  <w:style w:type="character" w:customStyle="1" w:styleId="a8">
    <w:name w:val="Цитата Знак"/>
    <w:basedOn w:val="a0"/>
    <w:link w:val="a7"/>
    <w:uiPriority w:val="29"/>
    <w:rsid w:val="00A5182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5182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kern w:val="2"/>
      <w:sz w:val="22"/>
      <w:szCs w:val="22"/>
      <w:lang w:eastAsia="en-US"/>
      <w14:ligatures w14:val="standardContextual"/>
    </w:rPr>
  </w:style>
  <w:style w:type="character" w:styleId="aa">
    <w:name w:val="Intense Emphasis"/>
    <w:basedOn w:val="a0"/>
    <w:uiPriority w:val="21"/>
    <w:qFormat/>
    <w:rsid w:val="00A5182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518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2"/>
      <w:szCs w:val="22"/>
      <w:lang w:eastAsia="en-US"/>
      <w14:ligatures w14:val="standardContextual"/>
    </w:rPr>
  </w:style>
  <w:style w:type="character" w:customStyle="1" w:styleId="ac">
    <w:name w:val="Насичена цитата Знак"/>
    <w:basedOn w:val="a0"/>
    <w:link w:val="ab"/>
    <w:uiPriority w:val="30"/>
    <w:rsid w:val="00A51827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A5182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5473</Words>
  <Characters>3120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Оборська Інна Сергіївна</dc:creator>
  <cp:keywords/>
  <dc:description/>
  <cp:lastModifiedBy>Оборська Інна Сергіївна</cp:lastModifiedBy>
  <cp:revision>1</cp:revision>
  <dcterms:created xsi:type="dcterms:W3CDTF">2026-04-21T14:33:00Z</dcterms:created>
  <dcterms:modified xsi:type="dcterms:W3CDTF">2026-04-21T15:01:00Z</dcterms:modified>
</cp:coreProperties>
</file>