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BE7A4" w14:textId="04C3A2EE" w:rsidR="007F170C" w:rsidRPr="00E61F7C" w:rsidRDefault="00B874E3" w:rsidP="00E85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УДК 004.</w:t>
      </w:r>
      <w:r w:rsidR="00E77FE2" w:rsidRPr="00E61F7C">
        <w:rPr>
          <w:rFonts w:ascii="Times New Roman" w:hAnsi="Times New Roman" w:cs="Times New Roman"/>
          <w:sz w:val="24"/>
          <w:szCs w:val="24"/>
          <w:lang w:val="uk-UA"/>
        </w:rPr>
        <w:t>77</w:t>
      </w:r>
    </w:p>
    <w:p w14:paraId="6EA25E00" w14:textId="58CDE949" w:rsidR="00651241" w:rsidRPr="00E61F7C" w:rsidRDefault="00D5169F" w:rsidP="00E85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b/>
          <w:sz w:val="24"/>
          <w:szCs w:val="24"/>
          <w:lang w:val="uk-UA"/>
        </w:rPr>
        <w:t>GENERAL DATA PROTECTION REGULATION</w:t>
      </w:r>
      <w:r w:rsidR="00651241" w:rsidRPr="00E61F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ЙОГО </w:t>
      </w:r>
      <w:r w:rsidR="00C6714E" w:rsidRPr="00E61F7C">
        <w:rPr>
          <w:rFonts w:ascii="Times New Roman" w:hAnsi="Times New Roman" w:cs="Times New Roman"/>
          <w:b/>
          <w:sz w:val="24"/>
          <w:szCs w:val="24"/>
          <w:lang w:val="uk-UA"/>
        </w:rPr>
        <w:t>ВПЛИВ НА</w:t>
      </w:r>
      <w:r w:rsidR="00651241" w:rsidRPr="00E61F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КІБЕРБЕЗПЕ</w:t>
      </w:r>
      <w:r w:rsidR="00C6714E" w:rsidRPr="00E61F7C"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</w:p>
    <w:p w14:paraId="0D250E35" w14:textId="09458FA5" w:rsidR="00B874E3" w:rsidRPr="00E61F7C" w:rsidRDefault="006D3B5B" w:rsidP="00E85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втор: </w:t>
      </w:r>
      <w:r w:rsidR="00B874E3" w:rsidRPr="00E61F7C">
        <w:rPr>
          <w:rFonts w:ascii="Times New Roman" w:hAnsi="Times New Roman" w:cs="Times New Roman"/>
          <w:sz w:val="24"/>
          <w:szCs w:val="24"/>
          <w:lang w:val="uk-UA"/>
        </w:rPr>
        <w:t>Голуб’ятніков А.С</w:t>
      </w:r>
      <w:r w:rsidR="00254439" w:rsidRPr="00E61F7C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науковий керівник: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Блозва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</w:p>
    <w:p w14:paraId="457B870A" w14:textId="77777777" w:rsidR="00AE4081" w:rsidRPr="00E61F7C" w:rsidRDefault="00AE4081" w:rsidP="00CB2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E69E73" w14:textId="21B4ACFD" w:rsidR="00324867" w:rsidRPr="00E61F7C" w:rsidRDefault="00C9185D" w:rsidP="008A15C0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61F7C">
        <w:rPr>
          <w:lang w:val="uk-UA"/>
        </w:rPr>
        <w:t xml:space="preserve">Останнім часом в світі нерідко спостерігаються випадки </w:t>
      </w:r>
      <w:r w:rsidR="00BF6A35" w:rsidRPr="00E61F7C">
        <w:rPr>
          <w:lang w:val="uk-UA"/>
        </w:rPr>
        <w:t>зламів</w:t>
      </w:r>
      <w:r w:rsidR="008E273F" w:rsidRPr="00E61F7C">
        <w:rPr>
          <w:lang w:val="uk-UA"/>
        </w:rPr>
        <w:t xml:space="preserve"> приватних компаній з метою викрадення персональних даних фізичних осіб.</w:t>
      </w:r>
      <w:r w:rsidR="00012564" w:rsidRPr="00012564">
        <w:t xml:space="preserve"> </w:t>
      </w:r>
      <w:r w:rsidR="008764C0" w:rsidRPr="00E61F7C">
        <w:rPr>
          <w:lang w:val="uk-UA"/>
        </w:rPr>
        <w:t xml:space="preserve">Заголовки новин містять безліч повідомлень про зломи комерційних структур, витік даних, електронне шахрайство, порушення функціонування державних структур або критично важливих об’єктів інфраструктури, крадіжку інтелектуальної власності, витоки інформації, пов’язаної з національною безпекою, тощо. </w:t>
      </w:r>
      <w:r w:rsidR="005E6330" w:rsidRPr="00E61F7C">
        <w:rPr>
          <w:lang w:val="uk-UA"/>
        </w:rPr>
        <w:t>К</w:t>
      </w:r>
      <w:r w:rsidR="008E273F" w:rsidRPr="00E61F7C">
        <w:rPr>
          <w:lang w:val="uk-UA"/>
        </w:rPr>
        <w:t>іберзлочинн</w:t>
      </w:r>
      <w:r w:rsidR="005E6330" w:rsidRPr="00E61F7C">
        <w:rPr>
          <w:lang w:val="uk-UA"/>
        </w:rPr>
        <w:t>ість</w:t>
      </w:r>
      <w:r w:rsidR="008E273F" w:rsidRPr="00E61F7C">
        <w:rPr>
          <w:lang w:val="uk-UA"/>
        </w:rPr>
        <w:t xml:space="preserve"> </w:t>
      </w:r>
      <w:r w:rsidR="005E6330" w:rsidRPr="00E61F7C">
        <w:rPr>
          <w:lang w:val="uk-UA"/>
        </w:rPr>
        <w:t>з роками</w:t>
      </w:r>
      <w:r w:rsidR="008E273F" w:rsidRPr="00E61F7C">
        <w:rPr>
          <w:lang w:val="uk-UA"/>
        </w:rPr>
        <w:t xml:space="preserve"> набирає обертів. </w:t>
      </w:r>
    </w:p>
    <w:p w14:paraId="331D5384" w14:textId="4E811F83" w:rsidR="00F40B35" w:rsidRPr="00E61F7C" w:rsidRDefault="009D31AD" w:rsidP="00F40B3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61F7C">
        <w:rPr>
          <w:lang w:val="uk-UA"/>
        </w:rPr>
        <w:t xml:space="preserve">Зовнішніми загрозами для бізнесу є: шкідливе </w:t>
      </w:r>
      <w:r w:rsidR="007061A1" w:rsidRPr="00E61F7C">
        <w:rPr>
          <w:lang w:val="uk-UA"/>
        </w:rPr>
        <w:t>програмне забезпечення</w:t>
      </w:r>
      <w:r w:rsidRPr="00E61F7C">
        <w:rPr>
          <w:lang w:val="uk-UA"/>
        </w:rPr>
        <w:t xml:space="preserve">, </w:t>
      </w:r>
      <w:proofErr w:type="spellStart"/>
      <w:r w:rsidRPr="00E61F7C">
        <w:rPr>
          <w:lang w:val="uk-UA"/>
        </w:rPr>
        <w:t>DDoS</w:t>
      </w:r>
      <w:proofErr w:type="spellEnd"/>
      <w:r w:rsidRPr="00E61F7C">
        <w:rPr>
          <w:lang w:val="uk-UA"/>
        </w:rPr>
        <w:t xml:space="preserve">-атаки, </w:t>
      </w:r>
      <w:proofErr w:type="spellStart"/>
      <w:r w:rsidRPr="00E61F7C">
        <w:rPr>
          <w:lang w:val="uk-UA"/>
        </w:rPr>
        <w:t>фішингові</w:t>
      </w:r>
      <w:proofErr w:type="spellEnd"/>
      <w:r w:rsidRPr="00E61F7C">
        <w:rPr>
          <w:lang w:val="uk-UA"/>
        </w:rPr>
        <w:t xml:space="preserve"> атаки, проникнення у мережу, втрата пристроїв зі збереженими паролями</w:t>
      </w:r>
      <w:r w:rsidR="00D70937" w:rsidRPr="00E61F7C">
        <w:rPr>
          <w:lang w:val="uk-UA"/>
        </w:rPr>
        <w:t xml:space="preserve"> та ін</w:t>
      </w:r>
      <w:r w:rsidR="007061A1" w:rsidRPr="00E61F7C">
        <w:rPr>
          <w:lang w:val="uk-UA"/>
        </w:rPr>
        <w:t>ші.</w:t>
      </w:r>
      <w:r w:rsidRPr="00E61F7C">
        <w:rPr>
          <w:lang w:val="uk-UA"/>
        </w:rPr>
        <w:t xml:space="preserve"> Внутрішніми найпопулярнішими загрозами є вразливе програмне забезпечення та витоки через співробітників або з</w:t>
      </w:r>
      <w:r w:rsidR="00F75919" w:rsidRPr="00E61F7C">
        <w:rPr>
          <w:lang w:val="uk-UA"/>
        </w:rPr>
        <w:t xml:space="preserve"> їх</w:t>
      </w:r>
      <w:r w:rsidRPr="00E61F7C">
        <w:rPr>
          <w:lang w:val="uk-UA"/>
        </w:rPr>
        <w:t xml:space="preserve"> вини.</w:t>
      </w:r>
      <w:r w:rsidR="003451CD" w:rsidRPr="00E61F7C">
        <w:rPr>
          <w:lang w:val="uk-UA"/>
        </w:rPr>
        <w:t xml:space="preserve"> </w:t>
      </w:r>
      <w:r w:rsidRPr="00E61F7C">
        <w:rPr>
          <w:lang w:val="uk-UA"/>
        </w:rPr>
        <w:t>Збільшення обсягі</w:t>
      </w:r>
      <w:r w:rsidR="00F75919" w:rsidRPr="00E61F7C">
        <w:rPr>
          <w:lang w:val="uk-UA"/>
        </w:rPr>
        <w:t>в</w:t>
      </w:r>
      <w:r w:rsidRPr="00E61F7C">
        <w:rPr>
          <w:lang w:val="uk-UA"/>
        </w:rPr>
        <w:t xml:space="preserve"> клієнтських даних,</w:t>
      </w:r>
      <w:r w:rsidR="00F75919" w:rsidRPr="00E61F7C">
        <w:rPr>
          <w:lang w:val="uk-UA"/>
        </w:rPr>
        <w:t xml:space="preserve"> що оброблюються,</w:t>
      </w:r>
      <w:r w:rsidRPr="00E61F7C">
        <w:rPr>
          <w:lang w:val="uk-UA"/>
        </w:rPr>
        <w:t xml:space="preserve"> і зростаюча роль інтелектуальної власності в успіху продукту призводять до виникнення нових форм розкрадання інформації. </w:t>
      </w:r>
      <w:r w:rsidR="00F40B35" w:rsidRPr="00E61F7C">
        <w:rPr>
          <w:lang w:val="uk-UA"/>
        </w:rPr>
        <w:t>На рис.</w:t>
      </w:r>
      <w:r w:rsidR="008A15C0">
        <w:rPr>
          <w:lang w:val="uk-UA"/>
        </w:rPr>
        <w:t>1</w:t>
      </w:r>
      <w:r w:rsidR="00F40B35" w:rsidRPr="00E61F7C">
        <w:rPr>
          <w:lang w:val="uk-UA"/>
        </w:rPr>
        <w:t xml:space="preserve"> наведено статистику (зібрана компанією </w:t>
      </w:r>
      <w:proofErr w:type="spellStart"/>
      <w:r w:rsidR="00F40B35" w:rsidRPr="00E61F7C">
        <w:rPr>
          <w:lang w:val="uk-UA"/>
        </w:rPr>
        <w:t>ElevenPath</w:t>
      </w:r>
      <w:proofErr w:type="spellEnd"/>
      <w:r w:rsidR="00F40B35" w:rsidRPr="00E61F7C">
        <w:rPr>
          <w:lang w:val="uk-UA"/>
        </w:rPr>
        <w:t xml:space="preserve">), щодо витрат в світі на забезпечення безпеки бізнесу, статистику щодо втрачених даних та інше. </w:t>
      </w:r>
      <w:r w:rsidR="00541EA0" w:rsidRPr="00E61F7C">
        <w:rPr>
          <w:lang w:val="uk-UA"/>
        </w:rPr>
        <w:t xml:space="preserve">Проблема кібербезпеки полягає у тому, що бізнес </w:t>
      </w:r>
      <w:proofErr w:type="spellStart"/>
      <w:r w:rsidR="00541EA0" w:rsidRPr="00E61F7C">
        <w:rPr>
          <w:lang w:val="uk-UA"/>
        </w:rPr>
        <w:t>рідко</w:t>
      </w:r>
      <w:proofErr w:type="spellEnd"/>
      <w:r w:rsidR="00541EA0" w:rsidRPr="00E61F7C">
        <w:rPr>
          <w:lang w:val="uk-UA"/>
        </w:rPr>
        <w:t xml:space="preserve"> використовує надійні антивірусні засоби чи спеціалізовані рішення щодо захисту від атак, вживає дії для захисту інформації та фінансових транзакцій [1].</w:t>
      </w:r>
    </w:p>
    <w:p w14:paraId="0719AE7F" w14:textId="77777777" w:rsidR="00F40B35" w:rsidRPr="00E61F7C" w:rsidRDefault="00F40B35" w:rsidP="00F40B35">
      <w:pPr>
        <w:pStyle w:val="a3"/>
        <w:spacing w:before="0" w:beforeAutospacing="0" w:after="0" w:afterAutospacing="0"/>
        <w:jc w:val="center"/>
        <w:rPr>
          <w:lang w:val="uk-UA"/>
        </w:rPr>
      </w:pPr>
      <w:r w:rsidRPr="00E61F7C">
        <w:rPr>
          <w:noProof/>
          <w:lang w:val="uk-UA"/>
        </w:rPr>
        <w:drawing>
          <wp:inline distT="0" distB="0" distL="0" distR="0" wp14:anchorId="063AE3A4" wp14:editId="45DCDEA3">
            <wp:extent cx="3632791" cy="211959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46" cy="214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F2CF" w14:textId="2E5BB45C" w:rsidR="00F40B35" w:rsidRPr="00E61F7C" w:rsidRDefault="00F40B35" w:rsidP="00F40B35">
      <w:pPr>
        <w:pStyle w:val="a3"/>
        <w:spacing w:before="0" w:beforeAutospacing="0" w:after="0" w:afterAutospacing="0"/>
        <w:jc w:val="center"/>
        <w:rPr>
          <w:lang w:val="uk-UA"/>
        </w:rPr>
      </w:pPr>
      <w:r w:rsidRPr="00E61F7C">
        <w:rPr>
          <w:lang w:val="uk-UA"/>
        </w:rPr>
        <w:t xml:space="preserve">Рис. </w:t>
      </w:r>
      <w:r w:rsidR="008A15C0">
        <w:rPr>
          <w:lang w:val="uk-UA"/>
        </w:rPr>
        <w:t>1</w:t>
      </w:r>
      <w:r w:rsidRPr="00E61F7C">
        <w:rPr>
          <w:lang w:val="uk-UA"/>
        </w:rPr>
        <w:t xml:space="preserve">. Статистика по </w:t>
      </w:r>
      <w:proofErr w:type="spellStart"/>
      <w:r w:rsidRPr="00E61F7C">
        <w:rPr>
          <w:lang w:val="uk-UA"/>
        </w:rPr>
        <w:t>кібербезпеці</w:t>
      </w:r>
      <w:proofErr w:type="spellEnd"/>
      <w:r w:rsidRPr="00E61F7C">
        <w:rPr>
          <w:lang w:val="uk-UA"/>
        </w:rPr>
        <w:t xml:space="preserve"> від компанії </w:t>
      </w:r>
      <w:proofErr w:type="spellStart"/>
      <w:r w:rsidRPr="00E61F7C">
        <w:rPr>
          <w:lang w:val="uk-UA"/>
        </w:rPr>
        <w:t>ElevenPath</w:t>
      </w:r>
      <w:proofErr w:type="spellEnd"/>
      <w:r w:rsidRPr="00E61F7C">
        <w:rPr>
          <w:lang w:val="uk-UA"/>
        </w:rPr>
        <w:t xml:space="preserve"> </w:t>
      </w:r>
    </w:p>
    <w:p w14:paraId="580C0CCF" w14:textId="1112E37A" w:rsidR="009D31AD" w:rsidRPr="00E61F7C" w:rsidRDefault="009D31AD" w:rsidP="009A6D1D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61F7C">
        <w:rPr>
          <w:lang w:val="uk-UA"/>
        </w:rPr>
        <w:t>​</w:t>
      </w:r>
    </w:p>
    <w:p w14:paraId="38F1CB63" w14:textId="75829879" w:rsidR="008E273F" w:rsidRPr="0069625E" w:rsidRDefault="00CC28B7" w:rsidP="00696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В травні 2018 року в ЄС впровадили </w:t>
      </w:r>
      <w:proofErr w:type="spellStart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>General</w:t>
      </w:r>
      <w:proofErr w:type="spellEnd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>Protection</w:t>
      </w:r>
      <w:proofErr w:type="spellEnd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="00D84130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(GDPR) – загальний регламент про захист даних</w:t>
      </w:r>
      <w:r w:rsidR="006F60D1" w:rsidRPr="00E61F7C">
        <w:rPr>
          <w:rFonts w:ascii="Times New Roman" w:hAnsi="Times New Roman" w:cs="Times New Roman"/>
          <w:sz w:val="24"/>
          <w:szCs w:val="24"/>
          <w:lang w:val="uk-UA"/>
        </w:rPr>
        <w:t>, який</w:t>
      </w:r>
      <w:r w:rsidR="0002774E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</w:t>
      </w:r>
      <w:r w:rsidR="00696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74E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начні штрафні санкції за порушення </w:t>
      </w:r>
      <w:r w:rsidR="006F60D1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 п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равил, які можуть сягати 4% від річного обігу підприємства або 20 млн євро (залежно від того, що є більшим)</w:t>
      </w:r>
      <w:r w:rsidR="006962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2774E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тримання прямої згоди від користувачів на обробку їхніх персональних даних. Вводиться можливість відкликання згоди на обробку даних</w:t>
      </w:r>
      <w:r w:rsidR="00D816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уб’єкти </w:t>
      </w:r>
      <w:proofErr w:type="spellStart"/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даних</w:t>
      </w:r>
      <w:r w:rsidR="00D816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мають</w:t>
      </w:r>
      <w:proofErr w:type="spellEnd"/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бути повідомленими про будь-які витоки даних протягом 72 годин з моменту виявлення такого витоку; право доступу до своїх даних – суб’єкт даних може отримати інформацію щодо того, чи обробляються його дані, які саме дані обробляються та з якою метою, у будь-якого оператора</w:t>
      </w:r>
      <w:r w:rsidR="006B51A5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бути забутим</w:t>
      </w:r>
      <w:r w:rsidR="006962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тобто право на повне видалення своїх даних з системи оператора, припинення використання даних та повідомлення іншим третім особам, які з ним пов’язані, про припинення використання даних; право отримувати всі свої дані, які є в оператора у структурованому</w:t>
      </w:r>
      <w:r w:rsidR="006B51A5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вигляді</w:t>
      </w:r>
      <w:r w:rsidR="006B51A5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який широко використовується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 форматі для зчитування 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машинами з правом їх подальшої передачі будь-якому іншому оператору</w:t>
      </w:r>
      <w:r w:rsidR="006B51A5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E273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заперечення обробки своїх персональних даних</w:t>
      </w:r>
      <w:r w:rsidR="00233F13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2382" w:rsidRPr="00E61F7C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9D31AD" w:rsidRPr="00E61F7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B2382" w:rsidRPr="00E61F7C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233F13" w:rsidRPr="00E61F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4B7067" w14:textId="59FFFFC1" w:rsidR="00A23E59" w:rsidRPr="00E61F7C" w:rsidRDefault="00931718" w:rsidP="00696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GDPR в Україні повинні впроваджувати компанії, які</w:t>
      </w:r>
      <w:r w:rsidR="0069625E" w:rsidRPr="0069625E">
        <w:rPr>
          <w:rFonts w:ascii="Times New Roman" w:hAnsi="Times New Roman" w:cs="Times New Roman"/>
          <w:sz w:val="24"/>
          <w:szCs w:val="24"/>
          <w:lang w:val="uk-UA"/>
        </w:rPr>
        <w:t>, м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>ають постійн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представництв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в ЄС</w:t>
      </w:r>
      <w:r w:rsidR="0069625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>не мають постійного представництва, але обробляють персональні дані людей (суб'єктів персональних даних), які знаходяться в одній з країн ЄС і можуть мати громадянство іншої держави</w:t>
      </w:r>
      <w:r w:rsidR="0069625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співпрацюють з організаціями, які вже </w:t>
      </w:r>
      <w:r w:rsidR="00AA1CC1" w:rsidRPr="00E61F7C">
        <w:rPr>
          <w:rFonts w:ascii="Times New Roman" w:hAnsi="Times New Roman" w:cs="Times New Roman"/>
          <w:sz w:val="24"/>
          <w:szCs w:val="24"/>
          <w:lang w:val="uk-UA"/>
        </w:rPr>
        <w:t>впровадили</w:t>
      </w:r>
      <w:r w:rsidR="00A23E5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GDPR і для збереження свого статусу зобов'язані вибирати підрядника за тим же принципом.</w:t>
      </w:r>
    </w:p>
    <w:p w14:paraId="492CB0F8" w14:textId="748D82E7" w:rsidR="002B793B" w:rsidRPr="00E61F7C" w:rsidRDefault="00187AE9" w:rsidP="002B7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A718B6" w:rsidRPr="00E61F7C">
        <w:rPr>
          <w:rFonts w:ascii="Times New Roman" w:hAnsi="Times New Roman" w:cs="Times New Roman"/>
          <w:sz w:val="24"/>
          <w:szCs w:val="24"/>
          <w:lang w:val="uk-UA"/>
        </w:rPr>
        <w:t>егламент стосується абсолютно всіх підприємств, які так чи інакше обробляють дані осіб, які перебувають в Європейському Союзі. Тобто якщо компанії поставляють свої товари або послуги фізичним особам на території ЄС, то вони зобов’язані дотримуватися європейський регламент щодо захисту персональних даних. А такими можуть бути ті компанії, які ведуть онлайн-продажу, туроператори, транспортні компанії. Вони хоч і знаходяться в Україні, але обробляють дані резидентів ЄС. Також під дію GDPR підпадають компанії, які проводять різні маркетингові дослідження, що охоплюють споживачів з Європи.</w:t>
      </w:r>
    </w:p>
    <w:p w14:paraId="4063C5BA" w14:textId="4B21F807" w:rsidR="002B793B" w:rsidRPr="00E61F7C" w:rsidRDefault="000F2982" w:rsidP="002B7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Компанії відчують відповідальність за збір, обробку та зберігання даних.</w:t>
      </w:r>
      <w:r w:rsidR="002B793B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Велика кількість даних вже не буде дорівнювати «хорошо</w:t>
      </w:r>
      <w:r w:rsidR="008A2296" w:rsidRPr="00E61F7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результату», а буде, швидше за все, мати на увазі незнання і невміння ефективно використовувати ї</w:t>
      </w:r>
      <w:r w:rsidR="008A2296" w:rsidRPr="00E61F7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у своїй роботі.</w:t>
      </w:r>
      <w:r w:rsidR="002B793B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Розробка продукту або сервісу буде починатися з продумування </w:t>
      </w:r>
      <w:r w:rsidR="000C59EF" w:rsidRPr="00E61F7C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оцінки впливу </w:t>
      </w:r>
      <w:r w:rsidR="000C59EF" w:rsidRPr="00E61F7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ризиків для даних вже до релізу</w:t>
      </w:r>
      <w:r w:rsidR="007A7E19" w:rsidRPr="00E61F7C">
        <w:rPr>
          <w:rFonts w:ascii="Times New Roman" w:hAnsi="Times New Roman" w:cs="Times New Roman"/>
          <w:sz w:val="24"/>
          <w:szCs w:val="24"/>
          <w:lang w:val="uk-UA"/>
        </w:rPr>
        <w:t>, а не після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793B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Кожен співробітник, який має доступ до персональної інформації буде обізнаний про правила і тому буде вже усвідомлено піклуватися про збереження персональних даних, тим самим дотримуючись базов</w:t>
      </w:r>
      <w:r w:rsidR="007A7E19" w:rsidRPr="00E61F7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правил щодо їх захисту.</w:t>
      </w:r>
      <w:r w:rsidR="002B793B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93ABD0" w14:textId="70DF3272" w:rsidR="002E3C3C" w:rsidRPr="00E61F7C" w:rsidRDefault="002E3C3C" w:rsidP="002B7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З норм </w:t>
      </w:r>
      <w:r w:rsidR="007A7E19" w:rsidRPr="00E61F7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егламенту випливає, що розміщення персональних даних на хмарних сховищах вважається їх передачею третім особам. Варто остерігатися сховищ з низьким рівнем захисту, а також обмежити розміщення на них персональних даних. При цьому, якщо передача даних за допомогою хмарного сховища відбувається за межі ЄС без належн</w:t>
      </w:r>
      <w:r w:rsidR="000401C9" w:rsidRPr="00E61F7C">
        <w:rPr>
          <w:rFonts w:ascii="Times New Roman" w:hAnsi="Times New Roman" w:cs="Times New Roman"/>
          <w:sz w:val="24"/>
          <w:szCs w:val="24"/>
          <w:lang w:val="uk-UA"/>
        </w:rPr>
        <w:t>ої захищеності (</w:t>
      </w:r>
      <w:proofErr w:type="spellStart"/>
      <w:r w:rsidRPr="00E61F7C">
        <w:rPr>
          <w:rFonts w:ascii="Times New Roman" w:hAnsi="Times New Roman" w:cs="Times New Roman"/>
          <w:sz w:val="24"/>
          <w:szCs w:val="24"/>
          <w:lang w:val="uk-UA"/>
        </w:rPr>
        <w:t>псевдонімізації</w:t>
      </w:r>
      <w:proofErr w:type="spellEnd"/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, шифрування, засекречування </w:t>
      </w:r>
      <w:r w:rsidR="000401C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у будь-який інший спосіб), такі дії є порушенням норм законодавства ЄС.</w:t>
      </w:r>
    </w:p>
    <w:p w14:paraId="135E4D6F" w14:textId="28A61851" w:rsidR="007A63D9" w:rsidRPr="00E61F7C" w:rsidRDefault="000401C9" w:rsidP="008C1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регламент</w:t>
      </w:r>
      <w:r w:rsidR="00F9119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кожен, хто надає свої персональні дані, має право на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</w:t>
      </w:r>
      <w:r w:rsidR="00F9119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їх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обробку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право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доступ до даних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 на виправлення даних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видалення даних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 на обмеження обробки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 переносу даних</w:t>
      </w:r>
      <w:r w:rsidR="00F9119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право на </w:t>
      </w:r>
      <w:r w:rsidR="00F9119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їх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заперечення</w:t>
      </w:r>
      <w:r w:rsidR="00B60FD3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права щодо автоматизованого прийняття рішень, включаючи складання профілю</w:t>
      </w:r>
      <w:r w:rsidR="00F9119F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8C1F1D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 знати про витоки даних</w:t>
      </w:r>
      <w:r w:rsidR="00435BBF" w:rsidRPr="00E61F7C">
        <w:rPr>
          <w:rFonts w:ascii="Times New Roman" w:hAnsi="Times New Roman" w:cs="Times New Roman"/>
          <w:sz w:val="24"/>
          <w:szCs w:val="24"/>
          <w:lang w:val="uk-UA"/>
        </w:rPr>
        <w:t>[3]</w:t>
      </w:r>
      <w:r w:rsidR="007A63D9" w:rsidRPr="00E61F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770FB71" w14:textId="5AAC347C" w:rsidR="00174FD0" w:rsidRPr="00E61F7C" w:rsidRDefault="00297573" w:rsidP="00CB2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Однією з основних змін, які </w:t>
      </w:r>
      <w:r w:rsidR="008C1F1D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привносить 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GDPR, є надання </w:t>
      </w:r>
      <w:r w:rsidR="008C1F1D" w:rsidRPr="00E61F7C">
        <w:rPr>
          <w:rFonts w:ascii="Times New Roman" w:hAnsi="Times New Roman" w:cs="Times New Roman"/>
          <w:sz w:val="24"/>
          <w:szCs w:val="24"/>
          <w:lang w:val="uk-UA"/>
        </w:rPr>
        <w:t>клієнтам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права знати, коли їх дані були зламані. Організаціям доведеться якнайшвидше повідомляти відповідні органи, щоб гарантувати, що </w:t>
      </w:r>
      <w:r w:rsidR="008812D4" w:rsidRPr="00E61F7C">
        <w:rPr>
          <w:rFonts w:ascii="Times New Roman" w:hAnsi="Times New Roman" w:cs="Times New Roman"/>
          <w:sz w:val="24"/>
          <w:szCs w:val="24"/>
          <w:lang w:val="uk-UA"/>
        </w:rPr>
        <w:t>клієнти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2D4" w:rsidRPr="00E61F7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>можуть вжи</w:t>
      </w:r>
      <w:r w:rsidR="008812D4" w:rsidRPr="00E61F7C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відповідних заходів для запобігання зловживанню їхніми даними</w:t>
      </w:r>
    </w:p>
    <w:p w14:paraId="0ED6DB62" w14:textId="58D00481" w:rsidR="00B874E3" w:rsidRPr="00E61F7C" w:rsidRDefault="00B874E3" w:rsidP="00E85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7C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14:paraId="7E7297FD" w14:textId="2751DA2D" w:rsidR="00A73DD5" w:rsidRPr="00C772D6" w:rsidRDefault="008E273F" w:rsidP="0043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D430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3DD5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Legalitgroup.com [Електронний ресурс]: «Кібербезпека бізнесу це не лише технічні заходи». – Режим доступу: </w:t>
      </w:r>
      <w:hyperlink r:id="rId7" w:history="1">
        <w:r w:rsidR="00C772D6" w:rsidRPr="005D04D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https://legalitgroup.com/kiberbezpeka-biznesu-tse-ne-lishe-tehnichni-zahodi/</w:t>
        </w:r>
      </w:hyperlink>
      <w:r w:rsidR="00C772D6" w:rsidRPr="00C772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F874F" w14:textId="36479D5A" w:rsidR="007F121F" w:rsidRPr="00C772D6" w:rsidRDefault="00A73DD5" w:rsidP="0043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29483E" w:rsidRPr="00E61F7C">
        <w:rPr>
          <w:rFonts w:ascii="Times New Roman" w:hAnsi="Times New Roman" w:cs="Times New Roman"/>
          <w:sz w:val="24"/>
          <w:szCs w:val="24"/>
          <w:lang w:val="uk-UA"/>
        </w:rPr>
        <w:t>Y</w:t>
      </w:r>
      <w:r w:rsidR="00FD430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ur-gazeta.com [Електронний ресурс]: </w:t>
      </w:r>
      <w:r w:rsidR="00433C19" w:rsidRPr="00E61F7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D4309" w:rsidRPr="00E61F7C">
        <w:rPr>
          <w:rFonts w:ascii="Times New Roman" w:hAnsi="Times New Roman" w:cs="Times New Roman"/>
          <w:sz w:val="24"/>
          <w:szCs w:val="24"/>
          <w:lang w:val="uk-UA"/>
        </w:rPr>
        <w:t>Кібербезпека у 2018 році: новий виклик для бізнесу, необхідність чи побажання?</w:t>
      </w:r>
      <w:r w:rsidR="00433C19" w:rsidRPr="00E61F7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D4309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hyperlink r:id="rId8" w:history="1">
        <w:r w:rsidR="00C772D6" w:rsidRPr="005D04D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http://yur-gazeta.com/publications/practice/informaciyne-pravo-telekomunikaciyi/kiberbezpeka-u-2018-roci-noviy-viklik-dlya-biznesu-neobhidnist-chi-pobazhannya.html</w:t>
        </w:r>
      </w:hyperlink>
      <w:r w:rsidR="00C772D6" w:rsidRPr="00C772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0CD42" w14:textId="1824EE49" w:rsidR="007F121F" w:rsidRPr="00C772D6" w:rsidRDefault="007F121F" w:rsidP="0043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F7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83E" w:rsidRPr="00E61F7C">
        <w:rPr>
          <w:rFonts w:ascii="Times New Roman" w:hAnsi="Times New Roman" w:cs="Times New Roman"/>
          <w:sz w:val="24"/>
          <w:szCs w:val="24"/>
          <w:lang w:val="uk-UA"/>
        </w:rPr>
        <w:t>Z</w:t>
      </w:r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dnet.com [Електронний ресурс]: </w:t>
      </w:r>
      <w:r w:rsidR="00433C19" w:rsidRPr="00E61F7C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What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is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GDPR?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Everything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you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need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know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about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general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protection</w:t>
      </w:r>
      <w:proofErr w:type="spellEnd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regulations</w:t>
      </w:r>
      <w:proofErr w:type="spellEnd"/>
      <w:r w:rsidR="001F0673" w:rsidRPr="00E61F7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30991" w:rsidRPr="00E61F7C">
        <w:rPr>
          <w:rFonts w:ascii="Times New Roman" w:hAnsi="Times New Roman" w:cs="Times New Roman"/>
          <w:sz w:val="24"/>
          <w:szCs w:val="24"/>
          <w:lang w:val="uk-UA"/>
        </w:rPr>
        <w:t>. – Режим доступу:</w:t>
      </w:r>
      <w:r w:rsidR="001F0673" w:rsidRPr="00E61F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9" w:history="1">
        <w:r w:rsidR="00C772D6" w:rsidRPr="005D04DE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https://www.zdnet.com/article/gdpr-an-executive-guide-to-what-you-need-to-know/</w:t>
        </w:r>
      </w:hyperlink>
      <w:r w:rsidR="00C772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F121F" w:rsidRPr="00C772D6" w:rsidSect="00174F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1BDF"/>
    <w:multiLevelType w:val="hybridMultilevel"/>
    <w:tmpl w:val="B2F2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730"/>
    <w:multiLevelType w:val="multilevel"/>
    <w:tmpl w:val="9F5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C4E59"/>
    <w:multiLevelType w:val="hybridMultilevel"/>
    <w:tmpl w:val="01BAB7B6"/>
    <w:lvl w:ilvl="0" w:tplc="27A2C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1E8A"/>
    <w:multiLevelType w:val="multilevel"/>
    <w:tmpl w:val="9A6A7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E2AB4"/>
    <w:multiLevelType w:val="multilevel"/>
    <w:tmpl w:val="130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97368"/>
    <w:multiLevelType w:val="multilevel"/>
    <w:tmpl w:val="53C8B6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C"/>
    <w:rsid w:val="000056E8"/>
    <w:rsid w:val="00012564"/>
    <w:rsid w:val="0002774E"/>
    <w:rsid w:val="00030991"/>
    <w:rsid w:val="000401C9"/>
    <w:rsid w:val="000B640E"/>
    <w:rsid w:val="000B6BA1"/>
    <w:rsid w:val="000C4E26"/>
    <w:rsid w:val="000C59EF"/>
    <w:rsid w:val="000F2982"/>
    <w:rsid w:val="00142628"/>
    <w:rsid w:val="00174FD0"/>
    <w:rsid w:val="00187AE9"/>
    <w:rsid w:val="001F0673"/>
    <w:rsid w:val="002025C7"/>
    <w:rsid w:val="002060C1"/>
    <w:rsid w:val="00233F13"/>
    <w:rsid w:val="00242C35"/>
    <w:rsid w:val="00254439"/>
    <w:rsid w:val="0029483E"/>
    <w:rsid w:val="00297573"/>
    <w:rsid w:val="002B793B"/>
    <w:rsid w:val="002E3C3C"/>
    <w:rsid w:val="00324867"/>
    <w:rsid w:val="00336DE3"/>
    <w:rsid w:val="003451CD"/>
    <w:rsid w:val="00345AE0"/>
    <w:rsid w:val="003A6232"/>
    <w:rsid w:val="00433C19"/>
    <w:rsid w:val="00435BBF"/>
    <w:rsid w:val="0047056A"/>
    <w:rsid w:val="004C0A00"/>
    <w:rsid w:val="004E6E8D"/>
    <w:rsid w:val="00541EA0"/>
    <w:rsid w:val="00551E7C"/>
    <w:rsid w:val="00593DD9"/>
    <w:rsid w:val="005A30BA"/>
    <w:rsid w:val="005E6330"/>
    <w:rsid w:val="00603C13"/>
    <w:rsid w:val="00651241"/>
    <w:rsid w:val="0069625E"/>
    <w:rsid w:val="006B51A5"/>
    <w:rsid w:val="006D3B5B"/>
    <w:rsid w:val="006F60D1"/>
    <w:rsid w:val="007061A1"/>
    <w:rsid w:val="00785B43"/>
    <w:rsid w:val="007A63D9"/>
    <w:rsid w:val="007A7E19"/>
    <w:rsid w:val="007F121F"/>
    <w:rsid w:val="007F170C"/>
    <w:rsid w:val="00825778"/>
    <w:rsid w:val="00831737"/>
    <w:rsid w:val="008325BE"/>
    <w:rsid w:val="00832DF8"/>
    <w:rsid w:val="008764C0"/>
    <w:rsid w:val="008812D4"/>
    <w:rsid w:val="008825D6"/>
    <w:rsid w:val="008A15C0"/>
    <w:rsid w:val="008A19CF"/>
    <w:rsid w:val="008A2296"/>
    <w:rsid w:val="008C1F1D"/>
    <w:rsid w:val="008E273F"/>
    <w:rsid w:val="009163CC"/>
    <w:rsid w:val="00931718"/>
    <w:rsid w:val="009A6D1D"/>
    <w:rsid w:val="009D31AD"/>
    <w:rsid w:val="009D6A8A"/>
    <w:rsid w:val="009F2E95"/>
    <w:rsid w:val="00A23E59"/>
    <w:rsid w:val="00A718B6"/>
    <w:rsid w:val="00A73DD5"/>
    <w:rsid w:val="00AA1CC1"/>
    <w:rsid w:val="00AE4081"/>
    <w:rsid w:val="00B07341"/>
    <w:rsid w:val="00B60FD3"/>
    <w:rsid w:val="00B874E3"/>
    <w:rsid w:val="00BD66DA"/>
    <w:rsid w:val="00BF6A35"/>
    <w:rsid w:val="00C10287"/>
    <w:rsid w:val="00C11F9C"/>
    <w:rsid w:val="00C53292"/>
    <w:rsid w:val="00C6714E"/>
    <w:rsid w:val="00C772D6"/>
    <w:rsid w:val="00C9185D"/>
    <w:rsid w:val="00CB2382"/>
    <w:rsid w:val="00CC28B7"/>
    <w:rsid w:val="00CF6152"/>
    <w:rsid w:val="00D10192"/>
    <w:rsid w:val="00D5169F"/>
    <w:rsid w:val="00D70937"/>
    <w:rsid w:val="00D7784A"/>
    <w:rsid w:val="00D8165B"/>
    <w:rsid w:val="00D84130"/>
    <w:rsid w:val="00DF3707"/>
    <w:rsid w:val="00E268E6"/>
    <w:rsid w:val="00E35C9D"/>
    <w:rsid w:val="00E61F7C"/>
    <w:rsid w:val="00E73FED"/>
    <w:rsid w:val="00E77FE2"/>
    <w:rsid w:val="00E8522F"/>
    <w:rsid w:val="00F2401B"/>
    <w:rsid w:val="00F40B35"/>
    <w:rsid w:val="00F701D7"/>
    <w:rsid w:val="00F75919"/>
    <w:rsid w:val="00F86ECD"/>
    <w:rsid w:val="00F9119F"/>
    <w:rsid w:val="00FD4309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7DC4"/>
  <w15:chartTrackingRefBased/>
  <w15:docId w15:val="{F0E6D639-C9EE-4EB9-9F68-173561A4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3E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B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772D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7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r-gazeta.com/publications/practice/informaciyne-pravo-telekomunikaciyi/kiberbezpeka-u-2018-roci-noviy-viklik-dlya-biznesu-neobhidnist-chi-pobazhann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itgroup.com/kiberbezpeka-biznesu-tse-ne-lishe-tehnichni-zahod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dnet.com/article/gdpr-an-executive-guide-to-what-you-need-to-kn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E9EB-5C28-41AD-926F-F87D8BF7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Holubiatnikov</dc:creator>
  <cp:keywords/>
  <dc:description/>
  <cp:lastModifiedBy>Andrii Holubiatnikov</cp:lastModifiedBy>
  <cp:revision>20</cp:revision>
  <dcterms:created xsi:type="dcterms:W3CDTF">2018-11-03T12:34:00Z</dcterms:created>
  <dcterms:modified xsi:type="dcterms:W3CDTF">2019-04-03T18:28:00Z</dcterms:modified>
</cp:coreProperties>
</file>